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10065" w:type="dxa"/>
        <w:tblInd w:w="-572" w:type="dxa"/>
        <w:tblLook w:val="04A0" w:firstRow="1" w:lastRow="0" w:firstColumn="1" w:lastColumn="0" w:noHBand="0" w:noVBand="1"/>
      </w:tblPr>
      <w:tblGrid>
        <w:gridCol w:w="1560"/>
        <w:gridCol w:w="8505"/>
      </w:tblGrid>
      <w:tr w:rsidR="00880AD1" w:rsidRPr="004C0AD0" w14:paraId="0F2FEE85" w14:textId="77777777" w:rsidTr="5B0DBB0F">
        <w:trPr>
          <w:trHeight w:val="411"/>
        </w:trPr>
        <w:tc>
          <w:tcPr>
            <w:tcW w:w="1560" w:type="dxa"/>
            <w:vAlign w:val="center"/>
          </w:tcPr>
          <w:p w14:paraId="2514378D" w14:textId="77777777" w:rsidR="00880AD1" w:rsidRPr="004C0AD0" w:rsidRDefault="00880AD1" w:rsidP="003B1E7B">
            <w:pPr>
              <w:jc w:val="center"/>
              <w:rPr>
                <w:rFonts w:ascii="Aptos" w:hAnsi="Aptos"/>
                <w:b/>
                <w:bCs/>
              </w:rPr>
            </w:pPr>
            <w:r w:rsidRPr="004C0AD0">
              <w:rPr>
                <w:rFonts w:ascii="Aptos" w:hAnsi="Aptos"/>
                <w:b/>
                <w:bCs/>
              </w:rPr>
              <w:t>Axe 1</w:t>
            </w:r>
          </w:p>
        </w:tc>
        <w:tc>
          <w:tcPr>
            <w:tcW w:w="8505" w:type="dxa"/>
          </w:tcPr>
          <w:p w14:paraId="13A3D505" w14:textId="737FBAED" w:rsidR="00880AD1" w:rsidRPr="004C0AD0" w:rsidRDefault="00880AD1" w:rsidP="003B1E7B">
            <w:pPr>
              <w:jc w:val="center"/>
              <w:rPr>
                <w:rFonts w:ascii="Aptos" w:hAnsi="Aptos"/>
                <w:b/>
                <w:bCs/>
              </w:rPr>
            </w:pPr>
            <w:r w:rsidRPr="004C0AD0">
              <w:rPr>
                <w:rFonts w:ascii="Aptos" w:hAnsi="Aptos"/>
                <w:b/>
                <w:bCs/>
              </w:rPr>
              <w:t>Amélioration des connaissances</w:t>
            </w:r>
            <w:r w:rsidR="006D4129">
              <w:rPr>
                <w:rFonts w:ascii="Aptos" w:hAnsi="Aptos"/>
                <w:b/>
                <w:bCs/>
              </w:rPr>
              <w:t xml:space="preserve"> scientifiques</w:t>
            </w:r>
          </w:p>
        </w:tc>
      </w:tr>
      <w:tr w:rsidR="00880AD1" w:rsidRPr="004C0AD0" w14:paraId="001DA00A" w14:textId="77777777" w:rsidTr="5B0DBB0F">
        <w:tc>
          <w:tcPr>
            <w:tcW w:w="1560" w:type="dxa"/>
            <w:vAlign w:val="center"/>
          </w:tcPr>
          <w:p w14:paraId="3CDE25A8" w14:textId="1E82EE2A" w:rsidR="00880AD1" w:rsidRPr="004C0AD0" w:rsidRDefault="00880AD1" w:rsidP="003B1E7B">
            <w:pPr>
              <w:jc w:val="center"/>
              <w:rPr>
                <w:rFonts w:ascii="Aptos" w:hAnsi="Aptos"/>
                <w:b/>
                <w:bCs/>
              </w:rPr>
            </w:pPr>
            <w:r w:rsidRPr="004C0AD0">
              <w:rPr>
                <w:rFonts w:ascii="Aptos" w:hAnsi="Aptos"/>
                <w:b/>
                <w:bCs/>
              </w:rPr>
              <w:t>Action 2</w:t>
            </w:r>
          </w:p>
        </w:tc>
        <w:tc>
          <w:tcPr>
            <w:tcW w:w="8505" w:type="dxa"/>
            <w:vAlign w:val="center"/>
          </w:tcPr>
          <w:p w14:paraId="5CF05203" w14:textId="3429A12F" w:rsidR="00880AD1" w:rsidRPr="004C0AD0" w:rsidRDefault="00880AD1" w:rsidP="003B1E7B">
            <w:pPr>
              <w:jc w:val="center"/>
              <w:rPr>
                <w:rFonts w:ascii="Aptos" w:hAnsi="Aptos"/>
                <w:b/>
                <w:bCs/>
              </w:rPr>
            </w:pPr>
            <w:r w:rsidRPr="004C0AD0">
              <w:rPr>
                <w:rFonts w:ascii="Aptos" w:hAnsi="Aptos"/>
                <w:b/>
                <w:bCs/>
              </w:rPr>
              <w:t xml:space="preserve">Améliorer les connaissances sur le déclin </w:t>
            </w:r>
            <w:r w:rsidR="00345017" w:rsidRPr="00AA27E3">
              <w:rPr>
                <w:rFonts w:ascii="Aptos" w:hAnsi="Aptos"/>
                <w:b/>
                <w:bCs/>
              </w:rPr>
              <w:t>et les menaces pesant sur les</w:t>
            </w:r>
            <w:r w:rsidRPr="00AA27E3">
              <w:rPr>
                <w:rFonts w:ascii="Aptos" w:hAnsi="Aptos"/>
                <w:b/>
                <w:bCs/>
              </w:rPr>
              <w:t xml:space="preserve"> </w:t>
            </w:r>
            <w:r w:rsidRPr="004C0AD0">
              <w:rPr>
                <w:rFonts w:ascii="Aptos" w:hAnsi="Aptos"/>
                <w:b/>
                <w:bCs/>
              </w:rPr>
              <w:t>insectes pollinisateurs sauvages</w:t>
            </w:r>
          </w:p>
          <w:p w14:paraId="3157607E" w14:textId="223ABF5E" w:rsidR="003A3BA3" w:rsidRPr="00AA27E3" w:rsidRDefault="00AA27E3" w:rsidP="00AA27E3">
            <w:pPr>
              <w:jc w:val="center"/>
              <w:rPr>
                <w:rFonts w:ascii="Aptos" w:hAnsi="Aptos"/>
              </w:rPr>
            </w:pPr>
            <w:r w:rsidRPr="00AA27E3">
              <w:rPr>
                <w:rFonts w:ascii="Aptos" w:hAnsi="Aptos"/>
              </w:rPr>
              <w:t xml:space="preserve">- </w:t>
            </w:r>
            <w:r w:rsidR="003A3BA3" w:rsidRPr="00AA27E3">
              <w:rPr>
                <w:rFonts w:ascii="Aptos" w:hAnsi="Aptos"/>
              </w:rPr>
              <w:t>Rédacteur SLE</w:t>
            </w:r>
            <w:r w:rsidRPr="00AA27E3">
              <w:rPr>
                <w:rFonts w:ascii="Aptos" w:hAnsi="Aptos"/>
              </w:rPr>
              <w:t xml:space="preserve"> -</w:t>
            </w:r>
          </w:p>
        </w:tc>
      </w:tr>
      <w:tr w:rsidR="00880AD1" w:rsidRPr="004C0AD0" w14:paraId="59517801" w14:textId="77777777" w:rsidTr="5B0DBB0F">
        <w:trPr>
          <w:trHeight w:val="294"/>
        </w:trPr>
        <w:tc>
          <w:tcPr>
            <w:tcW w:w="1560" w:type="dxa"/>
            <w:vAlign w:val="center"/>
          </w:tcPr>
          <w:p w14:paraId="0B914015" w14:textId="77777777" w:rsidR="00880AD1" w:rsidRPr="004C0AD0" w:rsidRDefault="00880AD1" w:rsidP="003B1E7B">
            <w:pPr>
              <w:jc w:val="center"/>
              <w:rPr>
                <w:rFonts w:ascii="Aptos" w:hAnsi="Aptos"/>
                <w:b/>
                <w:bCs/>
              </w:rPr>
            </w:pPr>
            <w:r w:rsidRPr="004C0AD0">
              <w:rPr>
                <w:rFonts w:ascii="Aptos" w:hAnsi="Aptos"/>
                <w:b/>
                <w:bCs/>
              </w:rPr>
              <w:t>Priorité</w:t>
            </w:r>
          </w:p>
        </w:tc>
        <w:tc>
          <w:tcPr>
            <w:tcW w:w="8505" w:type="dxa"/>
          </w:tcPr>
          <w:p w14:paraId="5E540BB1" w14:textId="23718090" w:rsidR="00880AD1" w:rsidRPr="004C0AD0" w:rsidRDefault="00F523D4" w:rsidP="003B1E7B">
            <w:pPr>
              <w:rPr>
                <w:rFonts w:ascii="Aptos" w:hAnsi="Aptos"/>
              </w:rPr>
            </w:pPr>
            <w:r>
              <w:rPr>
                <w:rFonts w:ascii="Aptos" w:hAnsi="Aptos"/>
              </w:rPr>
              <w:t>1</w:t>
            </w:r>
          </w:p>
        </w:tc>
      </w:tr>
      <w:tr w:rsidR="00880AD1" w:rsidRPr="004C0AD0" w14:paraId="371D2525" w14:textId="77777777" w:rsidTr="5B0DBB0F">
        <w:tc>
          <w:tcPr>
            <w:tcW w:w="1560" w:type="dxa"/>
            <w:vAlign w:val="center"/>
          </w:tcPr>
          <w:p w14:paraId="2575B2CE" w14:textId="77777777" w:rsidR="00880AD1" w:rsidRPr="004C0AD0" w:rsidRDefault="00880AD1" w:rsidP="003B1E7B">
            <w:pPr>
              <w:jc w:val="center"/>
              <w:rPr>
                <w:rFonts w:ascii="Aptos" w:hAnsi="Aptos"/>
                <w:b/>
                <w:bCs/>
              </w:rPr>
            </w:pPr>
            <w:r w:rsidRPr="004C0AD0">
              <w:rPr>
                <w:rFonts w:ascii="Aptos" w:hAnsi="Aptos"/>
                <w:b/>
                <w:bCs/>
              </w:rPr>
              <w:t>Objectifs</w:t>
            </w:r>
          </w:p>
        </w:tc>
        <w:tc>
          <w:tcPr>
            <w:tcW w:w="8505" w:type="dxa"/>
          </w:tcPr>
          <w:p w14:paraId="310AC890" w14:textId="749866FD" w:rsidR="008C0570" w:rsidRPr="008C0570" w:rsidRDefault="6BF4F793" w:rsidP="008C0570">
            <w:pPr>
              <w:pStyle w:val="Paragraphedeliste"/>
              <w:numPr>
                <w:ilvl w:val="0"/>
                <w:numId w:val="2"/>
              </w:numPr>
              <w:ind w:left="456" w:hanging="284"/>
              <w:jc w:val="both"/>
              <w:rPr>
                <w:rFonts w:ascii="Aptos" w:hAnsi="Aptos"/>
                <w:b/>
                <w:bCs/>
              </w:rPr>
            </w:pPr>
            <w:r w:rsidRPr="6BF4F793">
              <w:rPr>
                <w:rFonts w:ascii="Aptos" w:hAnsi="Aptos"/>
                <w:b/>
                <w:bCs/>
              </w:rPr>
              <w:t>Amélior</w:t>
            </w:r>
            <w:r w:rsidR="00403015">
              <w:rPr>
                <w:rFonts w:ascii="Aptos" w:hAnsi="Aptos"/>
                <w:b/>
                <w:bCs/>
              </w:rPr>
              <w:t>er</w:t>
            </w:r>
            <w:r w:rsidRPr="6BF4F793">
              <w:rPr>
                <w:rFonts w:ascii="Aptos" w:hAnsi="Aptos"/>
                <w:b/>
                <w:bCs/>
              </w:rPr>
              <w:t xml:space="preserve"> </w:t>
            </w:r>
            <w:r w:rsidR="00403015">
              <w:rPr>
                <w:rFonts w:ascii="Aptos" w:hAnsi="Aptos"/>
                <w:b/>
                <w:bCs/>
              </w:rPr>
              <w:t>l</w:t>
            </w:r>
            <w:r w:rsidRPr="6BF4F793">
              <w:rPr>
                <w:rFonts w:ascii="Aptos" w:hAnsi="Aptos"/>
                <w:b/>
                <w:bCs/>
              </w:rPr>
              <w:t>es connaissances sur les effectifs et l’état de conservation des insectes pollinisateurs sauvages</w:t>
            </w:r>
            <w:r w:rsidR="003467B1">
              <w:rPr>
                <w:rFonts w:ascii="Aptos" w:hAnsi="Aptos"/>
                <w:b/>
                <w:bCs/>
              </w:rPr>
              <w:t>.</w:t>
            </w:r>
          </w:p>
          <w:p w14:paraId="3E6451BE" w14:textId="15B3F8A4" w:rsidR="008C0570" w:rsidRPr="008C0570" w:rsidRDefault="008C0570" w:rsidP="008C0570">
            <w:pPr>
              <w:pStyle w:val="Paragraphedeliste"/>
              <w:numPr>
                <w:ilvl w:val="0"/>
                <w:numId w:val="2"/>
              </w:numPr>
              <w:ind w:left="456" w:hanging="284"/>
              <w:jc w:val="both"/>
              <w:rPr>
                <w:rFonts w:ascii="Aptos" w:hAnsi="Aptos"/>
                <w:b/>
                <w:bCs/>
              </w:rPr>
            </w:pPr>
            <w:r w:rsidRPr="008C0570">
              <w:rPr>
                <w:rFonts w:ascii="Aptos" w:hAnsi="Aptos"/>
                <w:b/>
                <w:bCs/>
              </w:rPr>
              <w:t>Évalu</w:t>
            </w:r>
            <w:r w:rsidR="00922128">
              <w:rPr>
                <w:rFonts w:ascii="Aptos" w:hAnsi="Aptos"/>
                <w:b/>
                <w:bCs/>
              </w:rPr>
              <w:t>er</w:t>
            </w:r>
            <w:r w:rsidRPr="008C0570">
              <w:rPr>
                <w:rFonts w:ascii="Aptos" w:hAnsi="Aptos"/>
                <w:b/>
                <w:bCs/>
              </w:rPr>
              <w:t xml:space="preserve"> et qualifi</w:t>
            </w:r>
            <w:r w:rsidR="00922128">
              <w:rPr>
                <w:rFonts w:ascii="Aptos" w:hAnsi="Aptos"/>
                <w:b/>
                <w:bCs/>
              </w:rPr>
              <w:t>er</w:t>
            </w:r>
            <w:r w:rsidRPr="008C0570">
              <w:rPr>
                <w:rFonts w:ascii="Aptos" w:hAnsi="Aptos"/>
                <w:b/>
                <w:bCs/>
              </w:rPr>
              <w:t xml:space="preserve"> </w:t>
            </w:r>
            <w:r w:rsidR="00922128">
              <w:rPr>
                <w:rFonts w:ascii="Aptos" w:hAnsi="Aptos"/>
                <w:b/>
                <w:bCs/>
              </w:rPr>
              <w:t>le</w:t>
            </w:r>
            <w:r w:rsidRPr="008C0570">
              <w:rPr>
                <w:rFonts w:ascii="Aptos" w:hAnsi="Aptos"/>
                <w:b/>
                <w:bCs/>
              </w:rPr>
              <w:t xml:space="preserve"> déclin des pollinisateurs sauvages</w:t>
            </w:r>
            <w:r w:rsidR="003467B1">
              <w:rPr>
                <w:rFonts w:ascii="Aptos" w:hAnsi="Aptos"/>
                <w:b/>
                <w:bCs/>
              </w:rPr>
              <w:t>.</w:t>
            </w:r>
          </w:p>
          <w:p w14:paraId="15BCA0AB" w14:textId="34566174" w:rsidR="008C0570" w:rsidRPr="008C0570" w:rsidRDefault="008C0570" w:rsidP="008C0570">
            <w:pPr>
              <w:pStyle w:val="Paragraphedeliste"/>
              <w:numPr>
                <w:ilvl w:val="0"/>
                <w:numId w:val="2"/>
              </w:numPr>
              <w:ind w:left="456" w:hanging="284"/>
              <w:jc w:val="both"/>
              <w:rPr>
                <w:rFonts w:ascii="Aptos" w:hAnsi="Aptos"/>
                <w:b/>
                <w:bCs/>
              </w:rPr>
            </w:pPr>
            <w:r w:rsidRPr="008C0570">
              <w:rPr>
                <w:rFonts w:ascii="Aptos" w:hAnsi="Aptos"/>
                <w:b/>
                <w:bCs/>
              </w:rPr>
              <w:t>Renforce</w:t>
            </w:r>
            <w:r w:rsidR="00922128">
              <w:rPr>
                <w:rFonts w:ascii="Aptos" w:hAnsi="Aptos"/>
                <w:b/>
                <w:bCs/>
              </w:rPr>
              <w:t>r</w:t>
            </w:r>
            <w:r w:rsidRPr="008C0570">
              <w:rPr>
                <w:rFonts w:ascii="Aptos" w:hAnsi="Aptos"/>
                <w:b/>
                <w:bCs/>
              </w:rPr>
              <w:t xml:space="preserve"> </w:t>
            </w:r>
            <w:r w:rsidR="00922128">
              <w:rPr>
                <w:rFonts w:ascii="Aptos" w:hAnsi="Aptos"/>
                <w:b/>
                <w:bCs/>
              </w:rPr>
              <w:t>l</w:t>
            </w:r>
            <w:r w:rsidRPr="008C0570">
              <w:rPr>
                <w:rFonts w:ascii="Aptos" w:hAnsi="Aptos"/>
                <w:b/>
                <w:bCs/>
              </w:rPr>
              <w:t>es outils de conservation</w:t>
            </w:r>
            <w:r w:rsidR="003467B1">
              <w:rPr>
                <w:rFonts w:ascii="Aptos" w:hAnsi="Aptos"/>
                <w:b/>
                <w:bCs/>
              </w:rPr>
              <w:t>.</w:t>
            </w:r>
          </w:p>
          <w:p w14:paraId="66110C99" w14:textId="70E5699E" w:rsidR="00156880" w:rsidRPr="00922128" w:rsidRDefault="00156880" w:rsidP="00922128">
            <w:pPr>
              <w:pStyle w:val="Paragraphedeliste"/>
              <w:numPr>
                <w:ilvl w:val="0"/>
                <w:numId w:val="2"/>
              </w:numPr>
              <w:ind w:left="456" w:hanging="284"/>
              <w:jc w:val="both"/>
              <w:rPr>
                <w:rFonts w:ascii="Aptos" w:hAnsi="Aptos"/>
                <w:b/>
                <w:bCs/>
              </w:rPr>
            </w:pPr>
            <w:r w:rsidRPr="008C0570">
              <w:rPr>
                <w:rFonts w:ascii="Aptos" w:hAnsi="Aptos"/>
                <w:b/>
                <w:bCs/>
              </w:rPr>
              <w:t>Amélior</w:t>
            </w:r>
            <w:r w:rsidR="00922128">
              <w:rPr>
                <w:rFonts w:ascii="Aptos" w:hAnsi="Aptos"/>
                <w:b/>
                <w:bCs/>
              </w:rPr>
              <w:t>er</w:t>
            </w:r>
            <w:r w:rsidRPr="008C0570">
              <w:rPr>
                <w:rFonts w:ascii="Aptos" w:hAnsi="Aptos"/>
                <w:b/>
                <w:bCs/>
              </w:rPr>
              <w:t xml:space="preserve"> la collecte et </w:t>
            </w:r>
            <w:r w:rsidR="00922128">
              <w:rPr>
                <w:rFonts w:ascii="Aptos" w:hAnsi="Aptos"/>
                <w:b/>
                <w:bCs/>
              </w:rPr>
              <w:t>le</w:t>
            </w:r>
            <w:r w:rsidRPr="008C0570">
              <w:rPr>
                <w:rFonts w:ascii="Aptos" w:hAnsi="Aptos"/>
                <w:b/>
                <w:bCs/>
              </w:rPr>
              <w:t xml:space="preserve"> partage des données</w:t>
            </w:r>
            <w:r w:rsidR="003467B1">
              <w:rPr>
                <w:rFonts w:ascii="Aptos" w:hAnsi="Aptos"/>
                <w:b/>
                <w:bCs/>
              </w:rPr>
              <w:t>.</w:t>
            </w:r>
          </w:p>
        </w:tc>
      </w:tr>
      <w:tr w:rsidR="00880AD1" w:rsidRPr="004C0AD0" w14:paraId="3452075C" w14:textId="77777777" w:rsidTr="5B0DBB0F">
        <w:tc>
          <w:tcPr>
            <w:tcW w:w="1560" w:type="dxa"/>
            <w:vAlign w:val="center"/>
          </w:tcPr>
          <w:p w14:paraId="7426D4EE" w14:textId="77777777" w:rsidR="00880AD1" w:rsidRPr="004C0AD0" w:rsidRDefault="00880AD1" w:rsidP="003B1E7B">
            <w:pPr>
              <w:jc w:val="center"/>
              <w:rPr>
                <w:rFonts w:ascii="Aptos" w:hAnsi="Aptos"/>
                <w:b/>
                <w:bCs/>
              </w:rPr>
            </w:pPr>
            <w:r w:rsidRPr="004C0AD0">
              <w:rPr>
                <w:rFonts w:ascii="Aptos" w:hAnsi="Aptos"/>
                <w:b/>
                <w:bCs/>
              </w:rPr>
              <w:t>Calendrier</w:t>
            </w:r>
          </w:p>
        </w:tc>
        <w:tc>
          <w:tcPr>
            <w:tcW w:w="8505" w:type="dxa"/>
          </w:tcPr>
          <w:p w14:paraId="3B4A8160" w14:textId="35A5DC8B" w:rsidR="00880AD1" w:rsidRPr="004C0AD0" w:rsidRDefault="00656F37" w:rsidP="003B1E7B">
            <w:pPr>
              <w:rPr>
                <w:rFonts w:ascii="Aptos" w:hAnsi="Aptos"/>
              </w:rPr>
            </w:pPr>
            <w:r>
              <w:rPr>
                <w:rFonts w:ascii="Aptos" w:hAnsi="Aptos"/>
              </w:rPr>
              <w:t>Durée PNA en cours</w:t>
            </w:r>
          </w:p>
        </w:tc>
      </w:tr>
      <w:tr w:rsidR="00880AD1" w:rsidRPr="004C0AD0" w14:paraId="523C5D64" w14:textId="77777777" w:rsidTr="5B0DBB0F">
        <w:tc>
          <w:tcPr>
            <w:tcW w:w="1560" w:type="dxa"/>
            <w:vAlign w:val="center"/>
          </w:tcPr>
          <w:p w14:paraId="49F112D6" w14:textId="77777777" w:rsidR="00880AD1" w:rsidRPr="004C0AD0" w:rsidRDefault="00880AD1" w:rsidP="003B1E7B">
            <w:pPr>
              <w:jc w:val="center"/>
              <w:rPr>
                <w:rFonts w:ascii="Aptos" w:hAnsi="Aptos"/>
                <w:b/>
                <w:bCs/>
              </w:rPr>
            </w:pPr>
            <w:r w:rsidRPr="004C0AD0">
              <w:rPr>
                <w:rFonts w:ascii="Aptos" w:hAnsi="Aptos"/>
                <w:b/>
                <w:bCs/>
              </w:rPr>
              <w:t>Contexte</w:t>
            </w:r>
          </w:p>
        </w:tc>
        <w:tc>
          <w:tcPr>
            <w:tcW w:w="8505" w:type="dxa"/>
          </w:tcPr>
          <w:p w14:paraId="621D14D4" w14:textId="3AD86F65" w:rsidR="00156880" w:rsidRDefault="00156880" w:rsidP="00156880">
            <w:pPr>
              <w:jc w:val="both"/>
              <w:rPr>
                <w:rFonts w:ascii="Aptos" w:hAnsi="Aptos"/>
              </w:rPr>
            </w:pPr>
            <w:r w:rsidRPr="00156880">
              <w:rPr>
                <w:rFonts w:ascii="Aptos" w:hAnsi="Aptos"/>
              </w:rPr>
              <w:t xml:space="preserve">Les pollinisateurs sauvages, notamment les abeilles (Anthophila) et les syrphes (Syrphidae), </w:t>
            </w:r>
            <w:r w:rsidR="00E27263" w:rsidRPr="00156880">
              <w:rPr>
                <w:rFonts w:ascii="Aptos" w:hAnsi="Aptos"/>
              </w:rPr>
              <w:t>jouent un rôle crucial dans la reproduction des plantes à fleurs et la production de nombreux aliments</w:t>
            </w:r>
            <w:r w:rsidRPr="00156880">
              <w:rPr>
                <w:rFonts w:ascii="Aptos" w:hAnsi="Aptos"/>
              </w:rPr>
              <w:t xml:space="preserve">. </w:t>
            </w:r>
            <w:r w:rsidR="00E27263" w:rsidRPr="00E27263">
              <w:rPr>
                <w:rFonts w:ascii="Aptos" w:hAnsi="Aptos"/>
              </w:rPr>
              <w:t xml:space="preserve">Cependant, ils sont confrontés à des menaces croissantes qui compromettent leur survie, entraînant des conséquences </w:t>
            </w:r>
            <w:r w:rsidR="00D27E0A">
              <w:rPr>
                <w:rFonts w:ascii="Aptos" w:hAnsi="Aptos"/>
              </w:rPr>
              <w:t>importantes</w:t>
            </w:r>
            <w:r w:rsidR="00E27263" w:rsidRPr="00E27263">
              <w:rPr>
                <w:rFonts w:ascii="Aptos" w:hAnsi="Aptos"/>
              </w:rPr>
              <w:t xml:space="preserve"> pour la biodiversité et l'agriculture. Les interactions complexes entre les pollinisateurs et leur environnement rendent leur conservation d'autant plus urgente et délicate. La région Grand Est </w:t>
            </w:r>
            <w:r w:rsidR="00B8374C">
              <w:rPr>
                <w:rFonts w:ascii="Aptos" w:hAnsi="Aptos"/>
              </w:rPr>
              <w:t xml:space="preserve">se </w:t>
            </w:r>
            <w:r w:rsidR="00E27263" w:rsidRPr="00E27263">
              <w:rPr>
                <w:rFonts w:ascii="Aptos" w:hAnsi="Aptos"/>
              </w:rPr>
              <w:t xml:space="preserve">doit donc </w:t>
            </w:r>
            <w:r w:rsidR="003B693B">
              <w:rPr>
                <w:rFonts w:ascii="Aptos" w:hAnsi="Aptos"/>
              </w:rPr>
              <w:t xml:space="preserve">de </w:t>
            </w:r>
            <w:r w:rsidR="00E27263" w:rsidRPr="00E27263">
              <w:rPr>
                <w:rFonts w:ascii="Aptos" w:hAnsi="Aptos"/>
              </w:rPr>
              <w:t>renforcer ses connaissances sur l'état de conservation de ces insectes pour élaborer des stratégies de protection efficaces.</w:t>
            </w:r>
          </w:p>
          <w:p w14:paraId="09C576D3" w14:textId="21AC927F" w:rsidR="00156880" w:rsidRPr="00AA27E3" w:rsidRDefault="00156880" w:rsidP="00156880">
            <w:pPr>
              <w:jc w:val="both"/>
              <w:rPr>
                <w:rFonts w:ascii="Aptos" w:hAnsi="Aptos"/>
                <w:b/>
                <w:bCs/>
              </w:rPr>
            </w:pPr>
            <w:r>
              <w:rPr>
                <w:rFonts w:ascii="Aptos" w:hAnsi="Aptos"/>
                <w:b/>
                <w:bCs/>
              </w:rPr>
              <w:t>Défis actuels</w:t>
            </w:r>
            <w:r w:rsidRPr="00156880">
              <w:rPr>
                <w:rFonts w:ascii="Aptos" w:hAnsi="Aptos"/>
                <w:b/>
                <w:bCs/>
              </w:rPr>
              <w:t xml:space="preserve"> :</w:t>
            </w:r>
          </w:p>
          <w:p w14:paraId="776C3359" w14:textId="69C4DA5F" w:rsidR="00156880" w:rsidRPr="00E27263" w:rsidRDefault="00156880" w:rsidP="00E27263">
            <w:pPr>
              <w:pStyle w:val="Paragraphedeliste"/>
              <w:numPr>
                <w:ilvl w:val="0"/>
                <w:numId w:val="3"/>
              </w:numPr>
              <w:ind w:left="456" w:hanging="284"/>
              <w:jc w:val="both"/>
              <w:rPr>
                <w:rFonts w:ascii="Aptos" w:hAnsi="Aptos"/>
              </w:rPr>
            </w:pPr>
            <w:r w:rsidRPr="00E27263">
              <w:rPr>
                <w:rFonts w:ascii="Aptos" w:hAnsi="Aptos"/>
                <w:b/>
                <w:bCs/>
              </w:rPr>
              <w:t xml:space="preserve">Insuffisance des données </w:t>
            </w:r>
            <w:r w:rsidRPr="00E27263">
              <w:rPr>
                <w:rFonts w:ascii="Aptos" w:hAnsi="Aptos"/>
              </w:rPr>
              <w:t>: Les connaissances sur les effectifs et la répartition des pollinisateurs sauvages dans la région sont limitées. Des inventaires détaillés sont nécessaires pour obtenir une vue d'ensemble précise de leur état de conservation</w:t>
            </w:r>
            <w:r w:rsidR="00B8044C">
              <w:rPr>
                <w:rFonts w:ascii="Aptos" w:hAnsi="Aptos"/>
              </w:rPr>
              <w:t xml:space="preserve"> actuel</w:t>
            </w:r>
            <w:r w:rsidRPr="00E27263">
              <w:rPr>
                <w:rFonts w:ascii="Aptos" w:hAnsi="Aptos"/>
              </w:rPr>
              <w:t>.</w:t>
            </w:r>
          </w:p>
          <w:p w14:paraId="0CC17D29" w14:textId="71BBCF81" w:rsidR="00156880" w:rsidRPr="00E27263" w:rsidRDefault="00156880" w:rsidP="00E27263">
            <w:pPr>
              <w:pStyle w:val="Paragraphedeliste"/>
              <w:numPr>
                <w:ilvl w:val="0"/>
                <w:numId w:val="3"/>
              </w:numPr>
              <w:ind w:left="456" w:hanging="284"/>
              <w:jc w:val="both"/>
              <w:rPr>
                <w:rFonts w:ascii="Aptos" w:hAnsi="Aptos"/>
              </w:rPr>
            </w:pPr>
            <w:r w:rsidRPr="00E27263">
              <w:rPr>
                <w:rFonts w:ascii="Aptos" w:hAnsi="Aptos"/>
                <w:b/>
                <w:bCs/>
              </w:rPr>
              <w:t>Qualification du déclin</w:t>
            </w:r>
            <w:r w:rsidRPr="00E27263">
              <w:rPr>
                <w:rFonts w:ascii="Aptos" w:hAnsi="Aptos"/>
              </w:rPr>
              <w:t xml:space="preserve"> : Il est essentiel de </w:t>
            </w:r>
            <w:r w:rsidR="00242C90">
              <w:rPr>
                <w:rFonts w:ascii="Aptos" w:hAnsi="Aptos"/>
              </w:rPr>
              <w:t xml:space="preserve">mieux </w:t>
            </w:r>
            <w:r w:rsidRPr="00E27263">
              <w:rPr>
                <w:rFonts w:ascii="Aptos" w:hAnsi="Aptos"/>
              </w:rPr>
              <w:t>comprendre</w:t>
            </w:r>
            <w:r w:rsidR="00242C90">
              <w:rPr>
                <w:rFonts w:ascii="Aptos" w:hAnsi="Aptos"/>
              </w:rPr>
              <w:t xml:space="preserve"> </w:t>
            </w:r>
            <w:r w:rsidRPr="00E27263">
              <w:rPr>
                <w:rFonts w:ascii="Aptos" w:hAnsi="Aptos"/>
              </w:rPr>
              <w:t>l'étendue et les causes du déclin des pollinisateurs sauvages. Cette compréhension permettrait d'identifier les espèces les plus menacées et de prioriser les actions de conservation.</w:t>
            </w:r>
          </w:p>
          <w:p w14:paraId="5EEF7765" w14:textId="77777777" w:rsidR="00156880" w:rsidRPr="00E27263" w:rsidRDefault="00156880" w:rsidP="00E27263">
            <w:pPr>
              <w:pStyle w:val="Paragraphedeliste"/>
              <w:numPr>
                <w:ilvl w:val="0"/>
                <w:numId w:val="3"/>
              </w:numPr>
              <w:ind w:left="456" w:hanging="284"/>
              <w:jc w:val="both"/>
              <w:rPr>
                <w:rFonts w:ascii="Aptos" w:hAnsi="Aptos"/>
              </w:rPr>
            </w:pPr>
            <w:r w:rsidRPr="00E27263">
              <w:rPr>
                <w:rFonts w:ascii="Aptos" w:hAnsi="Aptos"/>
                <w:b/>
                <w:bCs/>
              </w:rPr>
              <w:t>Outils de conservation</w:t>
            </w:r>
            <w:r w:rsidRPr="00E27263">
              <w:rPr>
                <w:rFonts w:ascii="Aptos" w:hAnsi="Aptos"/>
              </w:rPr>
              <w:t xml:space="preserve"> : Les listes rouges régionales et les cartes d’enjeux de conservation sont des outils cruciaux pour orienter les efforts de protection. Elles permettent de cibler les espèces et les habitats les plus vulnérables.</w:t>
            </w:r>
          </w:p>
          <w:p w14:paraId="3CC3895A" w14:textId="4DB51D05" w:rsidR="00156880" w:rsidRPr="00E27263" w:rsidRDefault="00156880" w:rsidP="00E27263">
            <w:pPr>
              <w:pStyle w:val="Paragraphedeliste"/>
              <w:numPr>
                <w:ilvl w:val="0"/>
                <w:numId w:val="3"/>
              </w:numPr>
              <w:ind w:left="456" w:hanging="284"/>
              <w:jc w:val="both"/>
              <w:rPr>
                <w:rFonts w:ascii="Aptos" w:hAnsi="Aptos"/>
              </w:rPr>
            </w:pPr>
            <w:r w:rsidRPr="00E27263">
              <w:rPr>
                <w:rFonts w:ascii="Aptos" w:hAnsi="Aptos"/>
                <w:b/>
                <w:bCs/>
              </w:rPr>
              <w:t>Centralisation et partage des données</w:t>
            </w:r>
            <w:r w:rsidRPr="00E27263">
              <w:rPr>
                <w:rFonts w:ascii="Aptos" w:hAnsi="Aptos"/>
              </w:rPr>
              <w:t xml:space="preserve"> : Une plateforme de </w:t>
            </w:r>
            <w:r w:rsidR="00E27263" w:rsidRPr="00E27263">
              <w:rPr>
                <w:rFonts w:ascii="Aptos" w:hAnsi="Aptos"/>
              </w:rPr>
              <w:t xml:space="preserve">compilation et de </w:t>
            </w:r>
            <w:r w:rsidRPr="00E27263">
              <w:rPr>
                <w:rFonts w:ascii="Aptos" w:hAnsi="Aptos"/>
              </w:rPr>
              <w:t>visualisation des données, compatible avec le SINP, est nécessaire pour centraliser les données d’occurrence et les rendre accessibles aux chercheurs, gestionnaires et décideurs.</w:t>
            </w:r>
          </w:p>
          <w:p w14:paraId="4B3BDA8E" w14:textId="038D86EE" w:rsidR="003A3BA3" w:rsidRPr="00E27263" w:rsidRDefault="6BF4F793" w:rsidP="00E27263">
            <w:pPr>
              <w:pStyle w:val="Paragraphedeliste"/>
              <w:numPr>
                <w:ilvl w:val="0"/>
                <w:numId w:val="3"/>
              </w:numPr>
              <w:ind w:left="456" w:hanging="284"/>
              <w:jc w:val="both"/>
              <w:rPr>
                <w:rFonts w:ascii="Aptos" w:hAnsi="Aptos"/>
              </w:rPr>
            </w:pPr>
            <w:r w:rsidRPr="6BF4F793">
              <w:rPr>
                <w:rFonts w:ascii="Aptos" w:hAnsi="Aptos"/>
                <w:b/>
                <w:bCs/>
              </w:rPr>
              <w:t>Coordination régionale</w:t>
            </w:r>
            <w:r w:rsidRPr="6BF4F793">
              <w:rPr>
                <w:rFonts w:ascii="Aptos" w:hAnsi="Aptos"/>
              </w:rPr>
              <w:t xml:space="preserve"> : La collaboration entre les différents acteurs régionaux, incluant les institutions de recherche, les associations et les gestionnaires</w:t>
            </w:r>
            <w:r w:rsidR="0010280C">
              <w:rPr>
                <w:rFonts w:ascii="Aptos" w:hAnsi="Aptos"/>
              </w:rPr>
              <w:t xml:space="preserve"> d’espaces naturels</w:t>
            </w:r>
            <w:r w:rsidRPr="6BF4F793">
              <w:rPr>
                <w:rFonts w:ascii="Aptos" w:hAnsi="Aptos"/>
              </w:rPr>
              <w:t>, est indispensable pour maximiser l'impact des actions de conservation.</w:t>
            </w:r>
          </w:p>
        </w:tc>
      </w:tr>
      <w:tr w:rsidR="00627E94" w:rsidRPr="004C0AD0" w14:paraId="0A702016" w14:textId="77777777" w:rsidTr="5B0DBB0F">
        <w:tc>
          <w:tcPr>
            <w:tcW w:w="1560" w:type="dxa"/>
            <w:vAlign w:val="center"/>
          </w:tcPr>
          <w:p w14:paraId="1DAC6444" w14:textId="7C096A0B" w:rsidR="00627E94" w:rsidRPr="004C0AD0" w:rsidRDefault="00CF43CD" w:rsidP="003B1E7B">
            <w:pPr>
              <w:jc w:val="center"/>
              <w:rPr>
                <w:rFonts w:ascii="Aptos" w:hAnsi="Aptos"/>
                <w:b/>
                <w:bCs/>
              </w:rPr>
            </w:pPr>
            <w:r w:rsidRPr="00CF43CD">
              <w:rPr>
                <w:rFonts w:ascii="Aptos" w:hAnsi="Aptos"/>
                <w:b/>
                <w:bCs/>
              </w:rPr>
              <w:t>Priorités d’études des différents taxons</w:t>
            </w:r>
          </w:p>
        </w:tc>
        <w:tc>
          <w:tcPr>
            <w:tcW w:w="8505" w:type="dxa"/>
          </w:tcPr>
          <w:p w14:paraId="500D2B3C" w14:textId="77777777" w:rsidR="0031663E" w:rsidRDefault="0031663E" w:rsidP="0031663E">
            <w:pPr>
              <w:jc w:val="both"/>
              <w:rPr>
                <w:rFonts w:ascii="Aptos" w:hAnsi="Aptos"/>
              </w:rPr>
            </w:pPr>
            <w:r w:rsidRPr="0031663E">
              <w:rPr>
                <w:rFonts w:ascii="Aptos" w:hAnsi="Aptos"/>
                <w:b/>
                <w:bCs/>
              </w:rPr>
              <w:t>Priorité 1</w:t>
            </w:r>
            <w:r>
              <w:rPr>
                <w:rFonts w:ascii="Aptos" w:hAnsi="Aptos"/>
              </w:rPr>
              <w:t> : abeilles sauvages (Hyménoptères) et syrphes (Diptères).</w:t>
            </w:r>
          </w:p>
          <w:p w14:paraId="244072BE" w14:textId="77777777" w:rsidR="0031663E" w:rsidRDefault="0031663E" w:rsidP="0031663E">
            <w:pPr>
              <w:jc w:val="both"/>
              <w:rPr>
                <w:rFonts w:ascii="Aptos" w:hAnsi="Aptos"/>
              </w:rPr>
            </w:pPr>
            <w:r w:rsidRPr="0031663E">
              <w:rPr>
                <w:rFonts w:ascii="Aptos" w:hAnsi="Aptos"/>
                <w:b/>
                <w:bCs/>
              </w:rPr>
              <w:t>Priorité 2</w:t>
            </w:r>
            <w:r>
              <w:rPr>
                <w:rFonts w:ascii="Aptos" w:hAnsi="Aptos"/>
              </w:rPr>
              <w:t> : lépidoptères, coléoptères et les autres hyménoptères (Guêpes, fourmis) et diptères.</w:t>
            </w:r>
          </w:p>
          <w:p w14:paraId="798F5300" w14:textId="577EA39C" w:rsidR="00627E94" w:rsidRPr="00156880" w:rsidRDefault="0031663E" w:rsidP="0031663E">
            <w:pPr>
              <w:jc w:val="both"/>
              <w:rPr>
                <w:rFonts w:ascii="Aptos" w:hAnsi="Aptos"/>
              </w:rPr>
            </w:pPr>
            <w:r w:rsidRPr="0031663E">
              <w:rPr>
                <w:rFonts w:ascii="Aptos" w:hAnsi="Aptos"/>
                <w:b/>
                <w:bCs/>
              </w:rPr>
              <w:t>Priorité 3</w:t>
            </w:r>
            <w:r>
              <w:rPr>
                <w:rFonts w:ascii="Aptos" w:hAnsi="Aptos"/>
              </w:rPr>
              <w:t> : hémiptères (Punaises), névroptères (ascalaphes) et les araignées.</w:t>
            </w:r>
          </w:p>
        </w:tc>
      </w:tr>
      <w:tr w:rsidR="00880AD1" w:rsidRPr="004C0AD0" w14:paraId="30EB3A77" w14:textId="77777777" w:rsidTr="5B0DBB0F">
        <w:tc>
          <w:tcPr>
            <w:tcW w:w="1560" w:type="dxa"/>
            <w:vAlign w:val="center"/>
          </w:tcPr>
          <w:p w14:paraId="70D79D11" w14:textId="77777777" w:rsidR="00880AD1" w:rsidRPr="004C0AD0" w:rsidRDefault="00880AD1" w:rsidP="003B1E7B">
            <w:pPr>
              <w:jc w:val="center"/>
              <w:rPr>
                <w:rFonts w:ascii="Aptos" w:hAnsi="Aptos"/>
                <w:b/>
                <w:bCs/>
              </w:rPr>
            </w:pPr>
            <w:r w:rsidRPr="004C0AD0">
              <w:rPr>
                <w:rFonts w:ascii="Aptos" w:hAnsi="Aptos"/>
                <w:b/>
                <w:bCs/>
              </w:rPr>
              <w:t>Description</w:t>
            </w:r>
          </w:p>
        </w:tc>
        <w:tc>
          <w:tcPr>
            <w:tcW w:w="8505" w:type="dxa"/>
          </w:tcPr>
          <w:p w14:paraId="7482BAB0" w14:textId="4934AC27" w:rsidR="00E27263" w:rsidRPr="00BA2A76" w:rsidRDefault="00D84DAD" w:rsidP="00BA2A76">
            <w:pPr>
              <w:pStyle w:val="Paragraphedeliste"/>
              <w:numPr>
                <w:ilvl w:val="0"/>
                <w:numId w:val="15"/>
              </w:numPr>
              <w:jc w:val="both"/>
              <w:rPr>
                <w:rFonts w:ascii="Aptos" w:hAnsi="Aptos"/>
                <w:b/>
                <w:bCs/>
              </w:rPr>
            </w:pPr>
            <w:r w:rsidRPr="00BA2A76">
              <w:rPr>
                <w:rFonts w:ascii="Aptos" w:hAnsi="Aptos"/>
                <w:b/>
                <w:bCs/>
              </w:rPr>
              <w:t>Réalisation d’inventaires entomologiques</w:t>
            </w:r>
          </w:p>
          <w:p w14:paraId="0919DBAA" w14:textId="3AA4B6C2" w:rsidR="00E27263" w:rsidRPr="00707F77" w:rsidRDefault="598767F7" w:rsidP="008327E9">
            <w:pPr>
              <w:pStyle w:val="Paragraphedeliste"/>
              <w:numPr>
                <w:ilvl w:val="0"/>
                <w:numId w:val="4"/>
              </w:numPr>
              <w:ind w:left="456" w:hanging="284"/>
              <w:jc w:val="both"/>
              <w:rPr>
                <w:rFonts w:ascii="Aptos" w:hAnsi="Aptos"/>
              </w:rPr>
            </w:pPr>
            <w:r w:rsidRPr="598767F7">
              <w:rPr>
                <w:rFonts w:ascii="Aptos" w:hAnsi="Aptos"/>
                <w:b/>
                <w:bCs/>
              </w:rPr>
              <w:t xml:space="preserve">Coordination et collecte des données : </w:t>
            </w:r>
            <w:r w:rsidRPr="598767F7">
              <w:rPr>
                <w:rFonts w:ascii="Aptos" w:hAnsi="Aptos"/>
              </w:rPr>
              <w:t xml:space="preserve">Organiser des inventaires </w:t>
            </w:r>
            <w:r w:rsidR="001E4052">
              <w:rPr>
                <w:rFonts w:ascii="Aptos" w:hAnsi="Aptos"/>
              </w:rPr>
              <w:t xml:space="preserve">des </w:t>
            </w:r>
            <w:r w:rsidR="001E4052" w:rsidRPr="00195BE3">
              <w:rPr>
                <w:rFonts w:ascii="Aptos" w:hAnsi="Aptos"/>
              </w:rPr>
              <w:t xml:space="preserve">pollinisateurs sauvages </w:t>
            </w:r>
            <w:r w:rsidRPr="598767F7">
              <w:rPr>
                <w:rFonts w:ascii="Aptos" w:hAnsi="Aptos"/>
              </w:rPr>
              <w:t>dans divers milieux (naturels, agricoles, urbains). Prioriser les espaces moins prospectés (camps militaires, sites naturels protégés ou à enjeux…) pour découvrir des espèces rares et/ou à fort enjeu de conservation. Etablir un suivi à long terme sur un réseau de sites pilotes.</w:t>
            </w:r>
          </w:p>
          <w:p w14:paraId="0CCEF823" w14:textId="77777777" w:rsidR="00BA2A76" w:rsidRDefault="6BF4F793" w:rsidP="00D84DAD">
            <w:pPr>
              <w:pStyle w:val="Paragraphedeliste"/>
              <w:numPr>
                <w:ilvl w:val="0"/>
                <w:numId w:val="4"/>
              </w:numPr>
              <w:ind w:left="456" w:hanging="284"/>
              <w:jc w:val="both"/>
              <w:rPr>
                <w:rFonts w:ascii="Aptos" w:hAnsi="Aptos"/>
              </w:rPr>
            </w:pPr>
            <w:r w:rsidRPr="6BF4F793">
              <w:rPr>
                <w:rFonts w:ascii="Aptos" w:hAnsi="Aptos"/>
                <w:b/>
                <w:bCs/>
              </w:rPr>
              <w:lastRenderedPageBreak/>
              <w:t xml:space="preserve">Bases de données historiques : </w:t>
            </w:r>
            <w:r w:rsidRPr="6BF4F793">
              <w:rPr>
                <w:rFonts w:ascii="Aptos" w:hAnsi="Aptos"/>
              </w:rPr>
              <w:t>Utiliser et maintenir la base de données régionale existante et son portail web de saisie et de visualisation, le portail Entomo</w:t>
            </w:r>
            <w:r w:rsidR="00B100D4">
              <w:rPr>
                <w:rFonts w:ascii="Aptos" w:hAnsi="Aptos"/>
              </w:rPr>
              <w:t>logique</w:t>
            </w:r>
            <w:r w:rsidRPr="6BF4F793">
              <w:rPr>
                <w:rFonts w:ascii="Aptos" w:hAnsi="Aptos"/>
              </w:rPr>
              <w:t xml:space="preserve"> Grand Est de la SLE, pour bancariser les données historiques des collections d’insectes pollinisateurs, provenant de musées, d’associations naturalistes et de particuliers. En parallèle, il est crucial de compiler dans ce portail les données disponibles dans les autres bases régionales existantes. Cela permettra des analyses diachroniques, un accès facilité aux données et une exploitation simplifiée de l'ensemble du jeu de données sur les pollinisateurs du Grand Est. Cette base de données d’occurrence est compatible avec le standard d’occurrence du SINP et permet facilement une remontée des données à l’échelle nationale.</w:t>
            </w:r>
          </w:p>
          <w:p w14:paraId="570782A0" w14:textId="0578F801" w:rsidR="008E1E7D" w:rsidRPr="00BA2A76" w:rsidRDefault="00D84DAD" w:rsidP="00BA2A76">
            <w:pPr>
              <w:pStyle w:val="Paragraphedeliste"/>
              <w:numPr>
                <w:ilvl w:val="0"/>
                <w:numId w:val="15"/>
              </w:numPr>
              <w:jc w:val="both"/>
              <w:rPr>
                <w:rFonts w:ascii="Aptos" w:hAnsi="Aptos"/>
              </w:rPr>
            </w:pPr>
            <w:r w:rsidRPr="00BA2A76">
              <w:rPr>
                <w:rFonts w:ascii="Aptos" w:hAnsi="Aptos"/>
                <w:b/>
                <w:bCs/>
              </w:rPr>
              <w:t>Établi</w:t>
            </w:r>
            <w:r w:rsidR="008E1E7D" w:rsidRPr="00BA2A76">
              <w:rPr>
                <w:rFonts w:ascii="Aptos" w:hAnsi="Aptos"/>
                <w:b/>
                <w:bCs/>
              </w:rPr>
              <w:t>ssement des</w:t>
            </w:r>
            <w:r w:rsidRPr="00BA2A76">
              <w:rPr>
                <w:rFonts w:ascii="Aptos" w:hAnsi="Aptos"/>
                <w:b/>
                <w:bCs/>
              </w:rPr>
              <w:t xml:space="preserve"> listes de référenc</w:t>
            </w:r>
            <w:r w:rsidR="000A6A0F" w:rsidRPr="00BA2A76">
              <w:rPr>
                <w:rFonts w:ascii="Aptos" w:hAnsi="Aptos"/>
                <w:b/>
                <w:bCs/>
              </w:rPr>
              <w:t>e, de patrimonialité et de menaces pour les pollinisateurs sauvages en Grand Est</w:t>
            </w:r>
            <w:r w:rsidRPr="00BA2A76">
              <w:rPr>
                <w:rFonts w:ascii="Aptos" w:hAnsi="Aptos"/>
              </w:rPr>
              <w:t>.</w:t>
            </w:r>
          </w:p>
          <w:p w14:paraId="62CEFE30" w14:textId="57CA1D0D" w:rsidR="000A6A0F" w:rsidRPr="000A6A0F" w:rsidRDefault="008E1E7D" w:rsidP="000A6A0F">
            <w:pPr>
              <w:pStyle w:val="Paragraphedeliste"/>
              <w:numPr>
                <w:ilvl w:val="0"/>
                <w:numId w:val="5"/>
              </w:numPr>
              <w:ind w:left="456" w:hanging="284"/>
              <w:jc w:val="both"/>
              <w:rPr>
                <w:rFonts w:ascii="Aptos" w:hAnsi="Aptos"/>
              </w:rPr>
            </w:pPr>
            <w:r w:rsidRPr="000A6A0F">
              <w:rPr>
                <w:rFonts w:ascii="Aptos" w:hAnsi="Aptos"/>
                <w:b/>
                <w:bCs/>
              </w:rPr>
              <w:t>Listes de référence</w:t>
            </w:r>
            <w:r w:rsidRPr="000A6A0F">
              <w:rPr>
                <w:rFonts w:ascii="Aptos" w:hAnsi="Aptos"/>
              </w:rPr>
              <w:t xml:space="preserve"> : Élaborer des listes de référence des espèces d’insectes pollinisateurs sauvages </w:t>
            </w:r>
            <w:r w:rsidR="000A6A0F" w:rsidRPr="000A6A0F">
              <w:rPr>
                <w:rFonts w:ascii="Aptos" w:hAnsi="Aptos"/>
              </w:rPr>
              <w:t>pour déterminer l’ensemble des taxons présents en région Grand Est, en déclinant l’information par département et par régions naturelles. C’est un préalable à toute construction de liste de patrimonialité et de menaces.</w:t>
            </w:r>
          </w:p>
          <w:p w14:paraId="69BC08CB" w14:textId="3B603288" w:rsidR="000A6A0F" w:rsidRPr="000A6A0F" w:rsidRDefault="2568E216" w:rsidP="000A6A0F">
            <w:pPr>
              <w:pStyle w:val="Paragraphedeliste"/>
              <w:numPr>
                <w:ilvl w:val="0"/>
                <w:numId w:val="5"/>
              </w:numPr>
              <w:ind w:left="456" w:hanging="284"/>
              <w:jc w:val="both"/>
              <w:rPr>
                <w:rFonts w:ascii="Aptos" w:hAnsi="Aptos"/>
              </w:rPr>
            </w:pPr>
            <w:r w:rsidRPr="2568E216">
              <w:rPr>
                <w:rFonts w:ascii="Aptos" w:hAnsi="Aptos"/>
                <w:b/>
                <w:bCs/>
              </w:rPr>
              <w:t>Listes des espèces déterminantes ZNIEFF</w:t>
            </w:r>
            <w:r w:rsidRPr="2568E216">
              <w:rPr>
                <w:rFonts w:ascii="Aptos" w:hAnsi="Aptos"/>
              </w:rPr>
              <w:t xml:space="preserve"> : Etablir une liste des espèces déterminantes ZNIEFF (zones naturelles d’intérêt écologique faunistique et floristique) pour les pollinisateurs sauvages à l’échelle Grand Est. L’inventaire ZNIEFF s’articule autour des listes d’espèces animales et végétales à forte valeur patrimoniale, dites « habitats et espèces déterminants ». </w:t>
            </w:r>
          </w:p>
          <w:p w14:paraId="3361EF0B" w14:textId="38420F39" w:rsidR="000A6A0F" w:rsidRPr="00707F77" w:rsidRDefault="008E1E7D" w:rsidP="000A6A0F">
            <w:pPr>
              <w:pStyle w:val="Paragraphedeliste"/>
              <w:numPr>
                <w:ilvl w:val="0"/>
                <w:numId w:val="5"/>
              </w:numPr>
              <w:ind w:left="456" w:hanging="284"/>
              <w:jc w:val="both"/>
              <w:rPr>
                <w:rFonts w:ascii="Aptos" w:hAnsi="Aptos"/>
              </w:rPr>
            </w:pPr>
            <w:r w:rsidRPr="000A6A0F">
              <w:rPr>
                <w:rFonts w:ascii="Aptos" w:hAnsi="Aptos"/>
                <w:b/>
                <w:bCs/>
              </w:rPr>
              <w:t>Listes rouges :</w:t>
            </w:r>
            <w:r w:rsidRPr="000A6A0F">
              <w:rPr>
                <w:rFonts w:ascii="Aptos" w:hAnsi="Aptos"/>
              </w:rPr>
              <w:t xml:space="preserve"> Établir des listes rouges régionales pour identifier les espèces menacées et définir les enjeux de rareté et de menaces à l’échelle du territoire. Collaborer avec les projets nationaux pour assurer une cohérence des données</w:t>
            </w:r>
            <w:r w:rsidR="000A6A0F" w:rsidRPr="000A6A0F">
              <w:rPr>
                <w:rFonts w:ascii="Aptos" w:hAnsi="Aptos"/>
              </w:rPr>
              <w:t> : d</w:t>
            </w:r>
            <w:r w:rsidR="00D84DAD" w:rsidRPr="000A6A0F">
              <w:rPr>
                <w:rFonts w:ascii="Aptos" w:hAnsi="Aptos"/>
              </w:rPr>
              <w:t>es projets de liste</w:t>
            </w:r>
            <w:r w:rsidR="00230FD4">
              <w:rPr>
                <w:rFonts w:ascii="Aptos" w:hAnsi="Aptos"/>
              </w:rPr>
              <w:t>s</w:t>
            </w:r>
            <w:r w:rsidR="00D84DAD" w:rsidRPr="000A6A0F">
              <w:rPr>
                <w:rFonts w:ascii="Aptos" w:hAnsi="Aptos"/>
              </w:rPr>
              <w:t xml:space="preserve"> rouge</w:t>
            </w:r>
            <w:r w:rsidR="00230FD4">
              <w:rPr>
                <w:rFonts w:ascii="Aptos" w:hAnsi="Aptos"/>
              </w:rPr>
              <w:t>s</w:t>
            </w:r>
            <w:r w:rsidR="00D84DAD" w:rsidRPr="000A6A0F">
              <w:rPr>
                <w:rFonts w:ascii="Aptos" w:hAnsi="Aptos"/>
              </w:rPr>
              <w:t xml:space="preserve"> nationales sur les abeilles sauvages et les syrphes sont </w:t>
            </w:r>
            <w:r w:rsidR="00707F77" w:rsidRPr="000A6A0F">
              <w:rPr>
                <w:rFonts w:ascii="Aptos" w:hAnsi="Aptos"/>
              </w:rPr>
              <w:t>en cours</w:t>
            </w:r>
            <w:r w:rsidR="00D84DAD" w:rsidRPr="000A6A0F">
              <w:rPr>
                <w:rFonts w:ascii="Aptos" w:hAnsi="Aptos"/>
              </w:rPr>
              <w:t>. Ces listes rouges devraient voir le jour à l’horizon 2030.</w:t>
            </w:r>
          </w:p>
          <w:p w14:paraId="56332EAB" w14:textId="4F7B67BB" w:rsidR="00430759" w:rsidRPr="00BA2A76" w:rsidRDefault="00430759" w:rsidP="00BA2A76">
            <w:pPr>
              <w:pStyle w:val="Paragraphedeliste"/>
              <w:numPr>
                <w:ilvl w:val="0"/>
                <w:numId w:val="15"/>
              </w:numPr>
              <w:jc w:val="both"/>
              <w:rPr>
                <w:rFonts w:ascii="Aptos" w:hAnsi="Aptos"/>
              </w:rPr>
            </w:pPr>
            <w:r w:rsidRPr="00BA2A76">
              <w:rPr>
                <w:rFonts w:ascii="Aptos" w:hAnsi="Aptos"/>
                <w:b/>
                <w:bCs/>
              </w:rPr>
              <w:t>C</w:t>
            </w:r>
            <w:r w:rsidR="00880AD1" w:rsidRPr="00BA2A76">
              <w:rPr>
                <w:rFonts w:ascii="Aptos" w:hAnsi="Aptos"/>
                <w:b/>
                <w:bCs/>
              </w:rPr>
              <w:t>artes d’enjeux de conservation</w:t>
            </w:r>
            <w:r w:rsidR="00880AD1" w:rsidRPr="00BA2A76">
              <w:rPr>
                <w:rFonts w:ascii="Aptos" w:hAnsi="Aptos"/>
              </w:rPr>
              <w:t>.</w:t>
            </w:r>
          </w:p>
          <w:p w14:paraId="6351FFC3" w14:textId="77777777" w:rsidR="00430759" w:rsidRPr="00430759" w:rsidRDefault="00430759" w:rsidP="00430759">
            <w:pPr>
              <w:pStyle w:val="Paragraphedeliste"/>
              <w:numPr>
                <w:ilvl w:val="0"/>
                <w:numId w:val="6"/>
              </w:numPr>
              <w:ind w:left="456" w:hanging="265"/>
              <w:jc w:val="both"/>
              <w:rPr>
                <w:rFonts w:ascii="Aptos" w:hAnsi="Aptos"/>
              </w:rPr>
            </w:pPr>
            <w:r w:rsidRPr="00430759">
              <w:rPr>
                <w:rFonts w:ascii="Aptos" w:hAnsi="Aptos"/>
                <w:b/>
                <w:bCs/>
              </w:rPr>
              <w:t>Évaluation des enjeux</w:t>
            </w:r>
            <w:r w:rsidRPr="00430759">
              <w:rPr>
                <w:rFonts w:ascii="Aptos" w:hAnsi="Aptos"/>
              </w:rPr>
              <w:t xml:space="preserve"> : Établir des cartes d’enjeux de conservation pour chaque taxon, habitat ou groupe biologique en utilisant des critères tels que la rareté géographique, la vulnérabilité des espèces et des habitats, et la responsabilité de conservation régionale.</w:t>
            </w:r>
          </w:p>
          <w:p w14:paraId="63C5A8D7" w14:textId="35325355" w:rsidR="00880AD1" w:rsidRPr="00430759" w:rsidRDefault="00430759" w:rsidP="00430759">
            <w:pPr>
              <w:pStyle w:val="Paragraphedeliste"/>
              <w:numPr>
                <w:ilvl w:val="0"/>
                <w:numId w:val="6"/>
              </w:numPr>
              <w:ind w:left="456" w:hanging="265"/>
              <w:jc w:val="both"/>
              <w:rPr>
                <w:rFonts w:ascii="Aptos" w:hAnsi="Aptos"/>
              </w:rPr>
            </w:pPr>
            <w:r w:rsidRPr="00430759">
              <w:rPr>
                <w:rFonts w:ascii="Aptos" w:hAnsi="Aptos"/>
                <w:b/>
                <w:bCs/>
              </w:rPr>
              <w:t>Diffusion et utilisation</w:t>
            </w:r>
            <w:r w:rsidRPr="00430759">
              <w:rPr>
                <w:rFonts w:ascii="Aptos" w:hAnsi="Aptos"/>
              </w:rPr>
              <w:t xml:space="preserve"> : Diffuser les cartes d’enjeux de conservation aux gestionnaires d’espaces naturels, aux décideurs politiques et de manière plus synthétique au public pour sensibiliser et orienter les actions de protection.</w:t>
            </w:r>
          </w:p>
        </w:tc>
      </w:tr>
      <w:tr w:rsidR="00880AD1" w:rsidRPr="004C0AD0" w14:paraId="48DFC554" w14:textId="77777777" w:rsidTr="5B0DBB0F">
        <w:tc>
          <w:tcPr>
            <w:tcW w:w="1560" w:type="dxa"/>
            <w:vAlign w:val="center"/>
          </w:tcPr>
          <w:p w14:paraId="4B2EB275" w14:textId="77777777" w:rsidR="00880AD1" w:rsidRPr="004C0AD0" w:rsidRDefault="00880AD1" w:rsidP="003B1E7B">
            <w:pPr>
              <w:jc w:val="center"/>
              <w:rPr>
                <w:rFonts w:ascii="Aptos" w:hAnsi="Aptos"/>
                <w:b/>
                <w:bCs/>
              </w:rPr>
            </w:pPr>
            <w:r w:rsidRPr="004C0AD0">
              <w:rPr>
                <w:rFonts w:ascii="Aptos" w:hAnsi="Aptos"/>
                <w:b/>
                <w:bCs/>
              </w:rPr>
              <w:lastRenderedPageBreak/>
              <w:t>Action(s) associée(s)</w:t>
            </w:r>
          </w:p>
        </w:tc>
        <w:tc>
          <w:tcPr>
            <w:tcW w:w="8505" w:type="dxa"/>
          </w:tcPr>
          <w:p w14:paraId="7455C48C" w14:textId="77777777" w:rsidR="00EF2284" w:rsidRDefault="00D84DAD" w:rsidP="00BA2A76">
            <w:pPr>
              <w:jc w:val="both"/>
              <w:rPr>
                <w:rStyle w:val="normaltextrun"/>
                <w:rFonts w:ascii="Aptos" w:hAnsi="Aptos"/>
                <w:b/>
                <w:bCs/>
              </w:rPr>
            </w:pPr>
            <w:r w:rsidRPr="00BA2A76">
              <w:rPr>
                <w:rStyle w:val="normaltextrun"/>
                <w:rFonts w:ascii="Aptos" w:hAnsi="Aptos"/>
                <w:b/>
                <w:bCs/>
              </w:rPr>
              <w:t>Axe 1 – Action 1</w:t>
            </w:r>
            <w:r w:rsidR="00BA2A76" w:rsidRPr="00BA2A76">
              <w:rPr>
                <w:rStyle w:val="normaltextrun"/>
                <w:rFonts w:ascii="Aptos" w:hAnsi="Aptos"/>
                <w:b/>
                <w:bCs/>
              </w:rPr>
              <w:t>.</w:t>
            </w:r>
          </w:p>
          <w:p w14:paraId="59811A6E" w14:textId="2A21F8E2" w:rsidR="003A3BA3" w:rsidRPr="00BA2A76" w:rsidRDefault="00CD6E1E" w:rsidP="00BA2A76">
            <w:pPr>
              <w:jc w:val="both"/>
              <w:rPr>
                <w:rFonts w:ascii="Aptos" w:hAnsi="Aptos"/>
              </w:rPr>
            </w:pPr>
            <w:r w:rsidRPr="00BA2A76">
              <w:rPr>
                <w:rStyle w:val="normaltextrun"/>
                <w:rFonts w:ascii="Aptos" w:hAnsi="Aptos"/>
                <w:b/>
                <w:bCs/>
              </w:rPr>
              <w:t xml:space="preserve">Axe 3 </w:t>
            </w:r>
            <w:r w:rsidR="00D84DAD" w:rsidRPr="00BA2A76">
              <w:rPr>
                <w:rStyle w:val="normaltextrun"/>
                <w:rFonts w:ascii="Aptos" w:hAnsi="Aptos"/>
                <w:b/>
                <w:bCs/>
              </w:rPr>
              <w:t>– Action</w:t>
            </w:r>
            <w:r w:rsidRPr="00BA2A76">
              <w:rPr>
                <w:rStyle w:val="normaltextrun"/>
                <w:rFonts w:ascii="Aptos" w:hAnsi="Aptos"/>
                <w:b/>
                <w:bCs/>
              </w:rPr>
              <w:t xml:space="preserve"> 1</w:t>
            </w:r>
            <w:r w:rsidR="00BA2A76" w:rsidRPr="00BA2A76">
              <w:rPr>
                <w:rStyle w:val="normaltextrun"/>
                <w:rFonts w:ascii="Aptos" w:hAnsi="Aptos"/>
                <w:b/>
                <w:bCs/>
              </w:rPr>
              <w:t>.</w:t>
            </w:r>
            <w:r w:rsidRPr="00BA2A76">
              <w:rPr>
                <w:rStyle w:val="normaltextrun"/>
                <w:rFonts w:ascii="Aptos" w:hAnsi="Aptos"/>
                <w:b/>
                <w:bCs/>
              </w:rPr>
              <w:t>b</w:t>
            </w:r>
            <w:r w:rsidR="00BA2A76" w:rsidRPr="00BA2A76">
              <w:rPr>
                <w:rStyle w:val="normaltextrun"/>
                <w:rFonts w:ascii="Aptos" w:hAnsi="Aptos"/>
                <w:b/>
                <w:bCs/>
              </w:rPr>
              <w:t>.</w:t>
            </w:r>
          </w:p>
        </w:tc>
      </w:tr>
      <w:tr w:rsidR="00880AD1" w:rsidRPr="004C0AD0" w14:paraId="3069DA07" w14:textId="77777777" w:rsidTr="5B0DBB0F">
        <w:tc>
          <w:tcPr>
            <w:tcW w:w="1560" w:type="dxa"/>
            <w:vAlign w:val="center"/>
          </w:tcPr>
          <w:p w14:paraId="4BA1F969" w14:textId="77777777" w:rsidR="00880AD1" w:rsidRPr="004C0AD0" w:rsidRDefault="00880AD1" w:rsidP="003B1E7B">
            <w:pPr>
              <w:jc w:val="center"/>
              <w:rPr>
                <w:rFonts w:ascii="Aptos" w:hAnsi="Aptos"/>
                <w:b/>
                <w:bCs/>
              </w:rPr>
            </w:pPr>
            <w:r w:rsidRPr="004C0AD0">
              <w:rPr>
                <w:rFonts w:ascii="Aptos" w:hAnsi="Aptos"/>
                <w:b/>
                <w:bCs/>
              </w:rPr>
              <w:t>Indicateurs de résultats</w:t>
            </w:r>
          </w:p>
        </w:tc>
        <w:tc>
          <w:tcPr>
            <w:tcW w:w="8505" w:type="dxa"/>
            <w:vAlign w:val="center"/>
          </w:tcPr>
          <w:p w14:paraId="385D3F06" w14:textId="0C2A515E" w:rsidR="0072463F" w:rsidRPr="001E4052" w:rsidRDefault="00E17B43" w:rsidP="001E4052">
            <w:pPr>
              <w:pStyle w:val="Paragraphedeliste"/>
              <w:numPr>
                <w:ilvl w:val="0"/>
                <w:numId w:val="14"/>
              </w:numPr>
              <w:jc w:val="both"/>
              <w:rPr>
                <w:rFonts w:ascii="Aptos" w:hAnsi="Aptos"/>
              </w:rPr>
            </w:pPr>
            <w:r w:rsidRPr="00E17B43">
              <w:rPr>
                <w:rFonts w:ascii="Aptos" w:hAnsi="Aptos"/>
              </w:rPr>
              <w:t>Atlas des bourdons du Grand Est (en cours)</w:t>
            </w:r>
            <w:r w:rsidR="001E4052">
              <w:rPr>
                <w:rFonts w:ascii="Aptos" w:hAnsi="Aptos"/>
              </w:rPr>
              <w:t xml:space="preserve"> / </w:t>
            </w:r>
            <w:r w:rsidRPr="001E4052">
              <w:rPr>
                <w:rFonts w:ascii="Aptos" w:hAnsi="Aptos"/>
              </w:rPr>
              <w:t xml:space="preserve">Atlas des </w:t>
            </w:r>
            <w:r w:rsidR="0045225A" w:rsidRPr="001E4052">
              <w:rPr>
                <w:rFonts w:ascii="Aptos" w:hAnsi="Aptos"/>
              </w:rPr>
              <w:t xml:space="preserve">abeilles sauvages et des syrphes </w:t>
            </w:r>
            <w:r w:rsidRPr="001E4052">
              <w:rPr>
                <w:rFonts w:ascii="Aptos" w:hAnsi="Aptos"/>
              </w:rPr>
              <w:t>du Grand Est</w:t>
            </w:r>
            <w:r w:rsidR="0045225A" w:rsidRPr="001E4052">
              <w:rPr>
                <w:rFonts w:ascii="Aptos" w:hAnsi="Aptos"/>
              </w:rPr>
              <w:t xml:space="preserve"> (à démarrer dans le cadre d’un atlas global sur les pollinisateurs sauvages)</w:t>
            </w:r>
            <w:r w:rsidR="007F7121" w:rsidRPr="001E4052">
              <w:rPr>
                <w:rFonts w:ascii="Aptos" w:hAnsi="Aptos"/>
              </w:rPr>
              <w:t>.</w:t>
            </w:r>
          </w:p>
          <w:p w14:paraId="4C570F31" w14:textId="4AAB033B" w:rsidR="00195BE3" w:rsidRDefault="5B0DBB0F" w:rsidP="001E4052">
            <w:pPr>
              <w:pStyle w:val="Paragraphedeliste"/>
              <w:numPr>
                <w:ilvl w:val="0"/>
                <w:numId w:val="13"/>
              </w:numPr>
              <w:jc w:val="both"/>
              <w:rPr>
                <w:rFonts w:ascii="Aptos" w:hAnsi="Aptos"/>
              </w:rPr>
            </w:pPr>
            <w:r w:rsidRPr="5B0DBB0F">
              <w:rPr>
                <w:rFonts w:ascii="Aptos" w:hAnsi="Aptos"/>
              </w:rPr>
              <w:t>Liste de référence des abeilles sauvages</w:t>
            </w:r>
            <w:r w:rsidR="00195BE3">
              <w:rPr>
                <w:rFonts w:ascii="Aptos" w:hAnsi="Aptos"/>
              </w:rPr>
              <w:t>,</w:t>
            </w:r>
            <w:r w:rsidRPr="5B0DBB0F">
              <w:rPr>
                <w:rFonts w:ascii="Aptos" w:hAnsi="Aptos"/>
              </w:rPr>
              <w:t xml:space="preserve"> des syrphes </w:t>
            </w:r>
            <w:r w:rsidR="00195BE3">
              <w:rPr>
                <w:rFonts w:ascii="Aptos" w:hAnsi="Aptos"/>
              </w:rPr>
              <w:t xml:space="preserve">et des autres pollinisateurs </w:t>
            </w:r>
            <w:r w:rsidRPr="5B0DBB0F">
              <w:rPr>
                <w:rFonts w:ascii="Aptos" w:hAnsi="Aptos"/>
              </w:rPr>
              <w:t>du Grand Est</w:t>
            </w:r>
          </w:p>
          <w:p w14:paraId="20E4A896" w14:textId="77777777" w:rsidR="00195BE3" w:rsidRDefault="5B0DBB0F" w:rsidP="001E4052">
            <w:pPr>
              <w:pStyle w:val="Paragraphedeliste"/>
              <w:numPr>
                <w:ilvl w:val="0"/>
                <w:numId w:val="13"/>
              </w:numPr>
              <w:jc w:val="both"/>
              <w:rPr>
                <w:rFonts w:ascii="Aptos" w:hAnsi="Aptos"/>
              </w:rPr>
            </w:pPr>
            <w:r w:rsidRPr="5B0DBB0F">
              <w:rPr>
                <w:rFonts w:ascii="Aptos" w:hAnsi="Aptos"/>
              </w:rPr>
              <w:t>Liste des abeilles sauvages et des syrphes déterminants ZNIEFF du Grand Est</w:t>
            </w:r>
          </w:p>
          <w:p w14:paraId="1FEA1F71" w14:textId="5F35755F" w:rsidR="00880AD1" w:rsidRPr="001E4052" w:rsidRDefault="5B0DBB0F" w:rsidP="001E4052">
            <w:pPr>
              <w:pStyle w:val="Paragraphedeliste"/>
              <w:numPr>
                <w:ilvl w:val="0"/>
                <w:numId w:val="13"/>
              </w:numPr>
              <w:jc w:val="both"/>
              <w:rPr>
                <w:rFonts w:ascii="Aptos" w:hAnsi="Aptos"/>
              </w:rPr>
            </w:pPr>
            <w:r w:rsidRPr="5B0DBB0F">
              <w:rPr>
                <w:rFonts w:ascii="Aptos" w:hAnsi="Aptos"/>
              </w:rPr>
              <w:t>Liste rouge des abeilles et des syrphes du Grand Est.</w:t>
            </w:r>
          </w:p>
          <w:p w14:paraId="153CCEA8" w14:textId="6C373AF1" w:rsidR="00C419A9" w:rsidRPr="0072463F" w:rsidRDefault="00C419A9" w:rsidP="009B0F24">
            <w:pPr>
              <w:pStyle w:val="Paragraphedeliste"/>
              <w:numPr>
                <w:ilvl w:val="0"/>
                <w:numId w:val="13"/>
              </w:numPr>
              <w:jc w:val="both"/>
              <w:rPr>
                <w:rFonts w:ascii="Aptos" w:hAnsi="Aptos"/>
              </w:rPr>
            </w:pPr>
            <w:r w:rsidRPr="0072463F">
              <w:rPr>
                <w:rFonts w:ascii="Aptos" w:hAnsi="Aptos"/>
              </w:rPr>
              <w:t>Nombre de cartes d’enjeux de conservation</w:t>
            </w:r>
            <w:r w:rsidR="007F7121">
              <w:rPr>
                <w:rFonts w:ascii="Aptos" w:hAnsi="Aptos"/>
              </w:rPr>
              <w:t>.</w:t>
            </w:r>
          </w:p>
          <w:p w14:paraId="65CE24E2" w14:textId="2652A104" w:rsidR="00A40A2D" w:rsidRPr="0072463F" w:rsidRDefault="6BF4F793" w:rsidP="009B0F24">
            <w:pPr>
              <w:pStyle w:val="Paragraphedeliste"/>
              <w:numPr>
                <w:ilvl w:val="0"/>
                <w:numId w:val="13"/>
              </w:numPr>
              <w:jc w:val="both"/>
              <w:rPr>
                <w:rFonts w:ascii="Aptos" w:hAnsi="Aptos"/>
              </w:rPr>
            </w:pPr>
            <w:r w:rsidRPr="0072463F">
              <w:rPr>
                <w:rFonts w:ascii="Aptos" w:hAnsi="Aptos"/>
              </w:rPr>
              <w:t>Nombre de données d’occurrence (par groupes taxonomiques) intégrées annuellement au SINP et dans le Portail entomo</w:t>
            </w:r>
            <w:r w:rsidR="0045225A">
              <w:rPr>
                <w:rFonts w:ascii="Aptos" w:hAnsi="Aptos"/>
              </w:rPr>
              <w:t>logique du</w:t>
            </w:r>
            <w:r w:rsidRPr="0072463F">
              <w:rPr>
                <w:rFonts w:ascii="Aptos" w:hAnsi="Aptos"/>
              </w:rPr>
              <w:t xml:space="preserve"> Grand Est.</w:t>
            </w:r>
          </w:p>
        </w:tc>
      </w:tr>
      <w:tr w:rsidR="00880AD1" w:rsidRPr="004C0AD0" w14:paraId="247FEED3" w14:textId="77777777" w:rsidTr="5B0DBB0F">
        <w:tc>
          <w:tcPr>
            <w:tcW w:w="1560" w:type="dxa"/>
            <w:vAlign w:val="center"/>
          </w:tcPr>
          <w:p w14:paraId="67DE15E8" w14:textId="77777777" w:rsidR="00880AD1" w:rsidRPr="004C0AD0" w:rsidRDefault="00880AD1" w:rsidP="003B1E7B">
            <w:pPr>
              <w:jc w:val="center"/>
              <w:rPr>
                <w:rFonts w:ascii="Aptos" w:hAnsi="Aptos"/>
                <w:b/>
                <w:bCs/>
              </w:rPr>
            </w:pPr>
            <w:r w:rsidRPr="004C0AD0">
              <w:rPr>
                <w:rFonts w:ascii="Aptos" w:hAnsi="Aptos"/>
                <w:b/>
                <w:bCs/>
              </w:rPr>
              <w:t>Echelle(s) de travail</w:t>
            </w:r>
          </w:p>
        </w:tc>
        <w:tc>
          <w:tcPr>
            <w:tcW w:w="8505" w:type="dxa"/>
            <w:vAlign w:val="center"/>
          </w:tcPr>
          <w:p w14:paraId="3F40656D" w14:textId="2DA119DC" w:rsidR="00880AD1" w:rsidRPr="004C0AD0" w:rsidRDefault="003A3BA3" w:rsidP="00430759">
            <w:pPr>
              <w:rPr>
                <w:rFonts w:ascii="Aptos" w:hAnsi="Aptos"/>
              </w:rPr>
            </w:pPr>
            <w:r w:rsidRPr="004C0AD0">
              <w:rPr>
                <w:rFonts w:ascii="Aptos" w:hAnsi="Aptos"/>
              </w:rPr>
              <w:t>Région</w:t>
            </w:r>
            <w:r w:rsidR="00CD6E1E" w:rsidRPr="004C0AD0">
              <w:rPr>
                <w:rFonts w:ascii="Aptos" w:hAnsi="Aptos"/>
              </w:rPr>
              <w:t xml:space="preserve"> Grand Est</w:t>
            </w:r>
          </w:p>
        </w:tc>
      </w:tr>
      <w:tr w:rsidR="00880AD1" w:rsidRPr="004C0AD0" w14:paraId="1EA920FC" w14:textId="77777777" w:rsidTr="5B0DBB0F">
        <w:tc>
          <w:tcPr>
            <w:tcW w:w="1560" w:type="dxa"/>
            <w:vAlign w:val="center"/>
          </w:tcPr>
          <w:p w14:paraId="5AF9E187" w14:textId="77777777" w:rsidR="00880AD1" w:rsidRPr="004C0AD0" w:rsidRDefault="00880AD1" w:rsidP="003B1E7B">
            <w:pPr>
              <w:jc w:val="center"/>
              <w:rPr>
                <w:rFonts w:ascii="Aptos" w:hAnsi="Aptos"/>
                <w:b/>
                <w:bCs/>
              </w:rPr>
            </w:pPr>
            <w:r w:rsidRPr="004C0AD0">
              <w:rPr>
                <w:rFonts w:ascii="Aptos" w:hAnsi="Aptos"/>
                <w:b/>
                <w:bCs/>
              </w:rPr>
              <w:t>Evaluation financière</w:t>
            </w:r>
          </w:p>
        </w:tc>
        <w:tc>
          <w:tcPr>
            <w:tcW w:w="8505" w:type="dxa"/>
            <w:vAlign w:val="center"/>
          </w:tcPr>
          <w:p w14:paraId="47F122B5" w14:textId="77777777" w:rsidR="00573C45" w:rsidRDefault="00573C45" w:rsidP="00573C45">
            <w:pPr>
              <w:rPr>
                <w:rFonts w:ascii="Aptos" w:hAnsi="Aptos"/>
              </w:rPr>
            </w:pPr>
            <w:r>
              <w:rPr>
                <w:rFonts w:ascii="Aptos" w:hAnsi="Aptos"/>
              </w:rPr>
              <w:t>Coût salarial ~ 55 000€ à l’année hors charges structures</w:t>
            </w:r>
          </w:p>
          <w:p w14:paraId="299044B8" w14:textId="08CD535F" w:rsidR="003A3BA3" w:rsidRPr="004C0AD0" w:rsidRDefault="00573C45" w:rsidP="00573C45">
            <w:pPr>
              <w:rPr>
                <w:rFonts w:ascii="Aptos" w:hAnsi="Aptos"/>
              </w:rPr>
            </w:pPr>
            <w:r>
              <w:rPr>
                <w:rFonts w:ascii="Aptos" w:hAnsi="Aptos"/>
              </w:rPr>
              <w:t>Charges structures par an ~ entre 10 000 et 20 000€</w:t>
            </w:r>
          </w:p>
        </w:tc>
      </w:tr>
      <w:tr w:rsidR="00880AD1" w:rsidRPr="004C0AD0" w14:paraId="2471C40C" w14:textId="77777777" w:rsidTr="5B0DBB0F">
        <w:tc>
          <w:tcPr>
            <w:tcW w:w="1560" w:type="dxa"/>
            <w:vAlign w:val="center"/>
          </w:tcPr>
          <w:p w14:paraId="59632ABA" w14:textId="77777777" w:rsidR="00880AD1" w:rsidRPr="004C0AD0" w:rsidRDefault="00880AD1" w:rsidP="003B1E7B">
            <w:pPr>
              <w:jc w:val="center"/>
              <w:rPr>
                <w:rFonts w:ascii="Aptos" w:hAnsi="Aptos"/>
                <w:b/>
                <w:bCs/>
              </w:rPr>
            </w:pPr>
            <w:r w:rsidRPr="004C0AD0">
              <w:rPr>
                <w:rFonts w:ascii="Aptos" w:hAnsi="Aptos"/>
                <w:b/>
                <w:bCs/>
              </w:rPr>
              <w:lastRenderedPageBreak/>
              <w:t>Pilote(s) de l’action</w:t>
            </w:r>
          </w:p>
        </w:tc>
        <w:tc>
          <w:tcPr>
            <w:tcW w:w="8505" w:type="dxa"/>
            <w:vAlign w:val="center"/>
          </w:tcPr>
          <w:p w14:paraId="4271D7D4" w14:textId="71C99BB6" w:rsidR="003A3BA3" w:rsidRPr="004C0AD0" w:rsidRDefault="001D2ECA" w:rsidP="00430759">
            <w:pPr>
              <w:rPr>
                <w:rFonts w:ascii="Aptos" w:hAnsi="Aptos"/>
              </w:rPr>
            </w:pPr>
            <w:r>
              <w:rPr>
                <w:rFonts w:ascii="Aptos" w:hAnsi="Aptos"/>
              </w:rPr>
              <w:t>SLE</w:t>
            </w:r>
          </w:p>
        </w:tc>
      </w:tr>
      <w:tr w:rsidR="00880AD1" w:rsidRPr="004C0AD0" w14:paraId="3B73ABEE" w14:textId="77777777" w:rsidTr="5B0DBB0F">
        <w:tc>
          <w:tcPr>
            <w:tcW w:w="1560" w:type="dxa"/>
            <w:vAlign w:val="center"/>
          </w:tcPr>
          <w:p w14:paraId="3B7AC6A5" w14:textId="480928A1" w:rsidR="00880AD1" w:rsidRPr="004C0AD0" w:rsidRDefault="0C967533" w:rsidP="003B1E7B">
            <w:pPr>
              <w:jc w:val="center"/>
              <w:rPr>
                <w:rFonts w:ascii="Aptos" w:hAnsi="Aptos"/>
                <w:b/>
                <w:bCs/>
              </w:rPr>
            </w:pPr>
            <w:r w:rsidRPr="0C967533">
              <w:rPr>
                <w:rFonts w:ascii="Aptos" w:hAnsi="Aptos"/>
                <w:b/>
                <w:bCs/>
              </w:rPr>
              <w:t>Partenaires potentiels</w:t>
            </w:r>
          </w:p>
        </w:tc>
        <w:tc>
          <w:tcPr>
            <w:tcW w:w="8505" w:type="dxa"/>
          </w:tcPr>
          <w:p w14:paraId="33E03590" w14:textId="2573E566" w:rsidR="00880AD1" w:rsidRPr="00707F77" w:rsidRDefault="6BF4F793" w:rsidP="00707F77">
            <w:pPr>
              <w:rPr>
                <w:rFonts w:ascii="Aptos" w:hAnsi="Aptos"/>
              </w:rPr>
            </w:pPr>
            <w:r w:rsidRPr="6BF4F793">
              <w:rPr>
                <w:rFonts w:ascii="Aptos" w:hAnsi="Aptos"/>
              </w:rPr>
              <w:t xml:space="preserve">UICN, OFB, GDR Pollinéco, </w:t>
            </w:r>
            <w:r w:rsidR="0025094A">
              <w:rPr>
                <w:rFonts w:ascii="Aptos" w:hAnsi="Aptos"/>
              </w:rPr>
              <w:t>OA</w:t>
            </w:r>
            <w:r w:rsidRPr="6BF4F793">
              <w:rPr>
                <w:rFonts w:ascii="Aptos" w:hAnsi="Aptos"/>
              </w:rPr>
              <w:t xml:space="preserve">, Opie, Arthropologia, Groupe syrphes des réserves de </w:t>
            </w:r>
            <w:r w:rsidR="00397B0F">
              <w:rPr>
                <w:rFonts w:ascii="Aptos" w:hAnsi="Aptos"/>
              </w:rPr>
              <w:t>France,</w:t>
            </w:r>
            <w:r w:rsidR="00883A22">
              <w:rPr>
                <w:rFonts w:ascii="Aptos" w:hAnsi="Aptos"/>
              </w:rPr>
              <w:t xml:space="preserve"> IMAGO,</w:t>
            </w:r>
            <w:r w:rsidR="00397B0F">
              <w:rPr>
                <w:rFonts w:ascii="Aptos" w:hAnsi="Aptos"/>
              </w:rPr>
              <w:t xml:space="preserve"> </w:t>
            </w:r>
            <w:r w:rsidR="00195BE3">
              <w:rPr>
                <w:rFonts w:ascii="Aptos" w:hAnsi="Aptos"/>
              </w:rPr>
              <w:t>Re</w:t>
            </w:r>
            <w:r w:rsidR="00195FD8">
              <w:rPr>
                <w:rFonts w:ascii="Aptos" w:hAnsi="Aptos"/>
              </w:rPr>
              <w:t>na</w:t>
            </w:r>
            <w:r w:rsidR="00195BE3">
              <w:rPr>
                <w:rFonts w:ascii="Aptos" w:hAnsi="Aptos"/>
              </w:rPr>
              <w:t xml:space="preserve">rd, </w:t>
            </w:r>
            <w:r w:rsidR="00195FD8">
              <w:rPr>
                <w:rFonts w:ascii="Aptos" w:hAnsi="Aptos"/>
              </w:rPr>
              <w:t xml:space="preserve">Neomys, </w:t>
            </w:r>
            <w:r w:rsidR="00614D9A">
              <w:rPr>
                <w:rFonts w:ascii="Aptos" w:hAnsi="Aptos"/>
              </w:rPr>
              <w:t xml:space="preserve">CBN, </w:t>
            </w:r>
            <w:r w:rsidR="00195BE3">
              <w:rPr>
                <w:rFonts w:ascii="Aptos" w:hAnsi="Aptos"/>
              </w:rPr>
              <w:t xml:space="preserve">SAE, </w:t>
            </w:r>
            <w:r w:rsidR="00397B0F">
              <w:rPr>
                <w:rFonts w:ascii="Aptos" w:hAnsi="Aptos"/>
              </w:rPr>
              <w:t xml:space="preserve">RBA, </w:t>
            </w:r>
            <w:r w:rsidR="00883A22">
              <w:rPr>
                <w:rFonts w:ascii="Aptos" w:hAnsi="Aptos"/>
              </w:rPr>
              <w:t xml:space="preserve">PNN, PNR, </w:t>
            </w:r>
            <w:r w:rsidR="00397B0F">
              <w:rPr>
                <w:rFonts w:ascii="Aptos" w:hAnsi="Aptos"/>
              </w:rPr>
              <w:t>RNR, RNN, CEN</w:t>
            </w:r>
            <w:r w:rsidR="0045225A">
              <w:rPr>
                <w:rFonts w:ascii="Aptos" w:hAnsi="Aptos"/>
              </w:rPr>
              <w:t>s</w:t>
            </w:r>
            <w:r w:rsidR="00BA2A76">
              <w:rPr>
                <w:rFonts w:ascii="Aptos" w:hAnsi="Aptos"/>
              </w:rPr>
              <w:t>,</w:t>
            </w:r>
            <w:r w:rsidR="00BA2A76">
              <w:t xml:space="preserve"> …</w:t>
            </w:r>
          </w:p>
        </w:tc>
      </w:tr>
    </w:tbl>
    <w:p w14:paraId="061E89CE" w14:textId="5704055B" w:rsidR="00C419A9" w:rsidRPr="004C0AD0" w:rsidRDefault="00C419A9">
      <w:pPr>
        <w:rPr>
          <w:rFonts w:ascii="Aptos" w:hAnsi="Aptos"/>
        </w:rPr>
      </w:pPr>
    </w:p>
    <w:sectPr w:rsidR="00C419A9" w:rsidRPr="004C0A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7295C"/>
    <w:multiLevelType w:val="hybridMultilevel"/>
    <w:tmpl w:val="1430C064"/>
    <w:lvl w:ilvl="0" w:tplc="91723516">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DB25E9"/>
    <w:multiLevelType w:val="hybridMultilevel"/>
    <w:tmpl w:val="1A7A1A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D14D9B"/>
    <w:multiLevelType w:val="hybridMultilevel"/>
    <w:tmpl w:val="EE72479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E192F75"/>
    <w:multiLevelType w:val="hybridMultilevel"/>
    <w:tmpl w:val="A29A937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02F7E2C"/>
    <w:multiLevelType w:val="hybridMultilevel"/>
    <w:tmpl w:val="95D8193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200416C"/>
    <w:multiLevelType w:val="hybridMultilevel"/>
    <w:tmpl w:val="12A47A1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43F66913"/>
    <w:multiLevelType w:val="hybridMultilevel"/>
    <w:tmpl w:val="B4CA3C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C286E6F"/>
    <w:multiLevelType w:val="hybridMultilevel"/>
    <w:tmpl w:val="D3588C58"/>
    <w:lvl w:ilvl="0" w:tplc="040C0001">
      <w:start w:val="1"/>
      <w:numFmt w:val="bullet"/>
      <w:lvlText w:val=""/>
      <w:lvlJc w:val="left"/>
      <w:pPr>
        <w:ind w:left="376" w:hanging="360"/>
      </w:pPr>
      <w:rPr>
        <w:rFonts w:ascii="Symbol" w:hAnsi="Symbol" w:hint="default"/>
      </w:rPr>
    </w:lvl>
    <w:lvl w:ilvl="1" w:tplc="040C0003" w:tentative="1">
      <w:start w:val="1"/>
      <w:numFmt w:val="bullet"/>
      <w:lvlText w:val="o"/>
      <w:lvlJc w:val="left"/>
      <w:pPr>
        <w:ind w:left="1096" w:hanging="360"/>
      </w:pPr>
      <w:rPr>
        <w:rFonts w:ascii="Courier New" w:hAnsi="Courier New" w:cs="Courier New" w:hint="default"/>
      </w:rPr>
    </w:lvl>
    <w:lvl w:ilvl="2" w:tplc="040C0005" w:tentative="1">
      <w:start w:val="1"/>
      <w:numFmt w:val="bullet"/>
      <w:lvlText w:val=""/>
      <w:lvlJc w:val="left"/>
      <w:pPr>
        <w:ind w:left="1816" w:hanging="360"/>
      </w:pPr>
      <w:rPr>
        <w:rFonts w:ascii="Wingdings" w:hAnsi="Wingdings" w:hint="default"/>
      </w:rPr>
    </w:lvl>
    <w:lvl w:ilvl="3" w:tplc="040C0001" w:tentative="1">
      <w:start w:val="1"/>
      <w:numFmt w:val="bullet"/>
      <w:lvlText w:val=""/>
      <w:lvlJc w:val="left"/>
      <w:pPr>
        <w:ind w:left="2536" w:hanging="360"/>
      </w:pPr>
      <w:rPr>
        <w:rFonts w:ascii="Symbol" w:hAnsi="Symbol" w:hint="default"/>
      </w:rPr>
    </w:lvl>
    <w:lvl w:ilvl="4" w:tplc="040C0003" w:tentative="1">
      <w:start w:val="1"/>
      <w:numFmt w:val="bullet"/>
      <w:lvlText w:val="o"/>
      <w:lvlJc w:val="left"/>
      <w:pPr>
        <w:ind w:left="3256" w:hanging="360"/>
      </w:pPr>
      <w:rPr>
        <w:rFonts w:ascii="Courier New" w:hAnsi="Courier New" w:cs="Courier New" w:hint="default"/>
      </w:rPr>
    </w:lvl>
    <w:lvl w:ilvl="5" w:tplc="040C0005" w:tentative="1">
      <w:start w:val="1"/>
      <w:numFmt w:val="bullet"/>
      <w:lvlText w:val=""/>
      <w:lvlJc w:val="left"/>
      <w:pPr>
        <w:ind w:left="3976" w:hanging="360"/>
      </w:pPr>
      <w:rPr>
        <w:rFonts w:ascii="Wingdings" w:hAnsi="Wingdings" w:hint="default"/>
      </w:rPr>
    </w:lvl>
    <w:lvl w:ilvl="6" w:tplc="040C0001" w:tentative="1">
      <w:start w:val="1"/>
      <w:numFmt w:val="bullet"/>
      <w:lvlText w:val=""/>
      <w:lvlJc w:val="left"/>
      <w:pPr>
        <w:ind w:left="4696" w:hanging="360"/>
      </w:pPr>
      <w:rPr>
        <w:rFonts w:ascii="Symbol" w:hAnsi="Symbol" w:hint="default"/>
      </w:rPr>
    </w:lvl>
    <w:lvl w:ilvl="7" w:tplc="040C0003" w:tentative="1">
      <w:start w:val="1"/>
      <w:numFmt w:val="bullet"/>
      <w:lvlText w:val="o"/>
      <w:lvlJc w:val="left"/>
      <w:pPr>
        <w:ind w:left="5416" w:hanging="360"/>
      </w:pPr>
      <w:rPr>
        <w:rFonts w:ascii="Courier New" w:hAnsi="Courier New" w:cs="Courier New" w:hint="default"/>
      </w:rPr>
    </w:lvl>
    <w:lvl w:ilvl="8" w:tplc="040C0005" w:tentative="1">
      <w:start w:val="1"/>
      <w:numFmt w:val="bullet"/>
      <w:lvlText w:val=""/>
      <w:lvlJc w:val="left"/>
      <w:pPr>
        <w:ind w:left="6136" w:hanging="360"/>
      </w:pPr>
      <w:rPr>
        <w:rFonts w:ascii="Wingdings" w:hAnsi="Wingdings" w:hint="default"/>
      </w:rPr>
    </w:lvl>
  </w:abstractNum>
  <w:abstractNum w:abstractNumId="8" w15:restartNumberingAfterBreak="0">
    <w:nsid w:val="50115034"/>
    <w:multiLevelType w:val="hybridMultilevel"/>
    <w:tmpl w:val="2F4CC6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6525ECB"/>
    <w:multiLevelType w:val="hybridMultilevel"/>
    <w:tmpl w:val="AFE69E4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5B1170C8"/>
    <w:multiLevelType w:val="hybridMultilevel"/>
    <w:tmpl w:val="BBE0258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60416434"/>
    <w:multiLevelType w:val="hybridMultilevel"/>
    <w:tmpl w:val="01A8016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CA00575"/>
    <w:multiLevelType w:val="hybridMultilevel"/>
    <w:tmpl w:val="CD62BDBC"/>
    <w:lvl w:ilvl="0" w:tplc="D3307592">
      <w:start w:val="2024"/>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16C0A9D"/>
    <w:multiLevelType w:val="hybridMultilevel"/>
    <w:tmpl w:val="B0C61F5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DD950B3"/>
    <w:multiLevelType w:val="hybridMultilevel"/>
    <w:tmpl w:val="65D0775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92158583">
    <w:abstractNumId w:val="12"/>
  </w:num>
  <w:num w:numId="2" w16cid:durableId="1496067971">
    <w:abstractNumId w:val="7"/>
  </w:num>
  <w:num w:numId="3" w16cid:durableId="1237520092">
    <w:abstractNumId w:val="8"/>
  </w:num>
  <w:num w:numId="4" w16cid:durableId="505443486">
    <w:abstractNumId w:val="11"/>
  </w:num>
  <w:num w:numId="5" w16cid:durableId="926959553">
    <w:abstractNumId w:val="13"/>
  </w:num>
  <w:num w:numId="6" w16cid:durableId="386536171">
    <w:abstractNumId w:val="4"/>
  </w:num>
  <w:num w:numId="7" w16cid:durableId="1340546960">
    <w:abstractNumId w:val="6"/>
  </w:num>
  <w:num w:numId="8" w16cid:durableId="1862426764">
    <w:abstractNumId w:val="2"/>
  </w:num>
  <w:num w:numId="9" w16cid:durableId="1425421908">
    <w:abstractNumId w:val="0"/>
  </w:num>
  <w:num w:numId="10" w16cid:durableId="387151037">
    <w:abstractNumId w:val="9"/>
  </w:num>
  <w:num w:numId="11" w16cid:durableId="903218223">
    <w:abstractNumId w:val="5"/>
  </w:num>
  <w:num w:numId="12" w16cid:durableId="756751012">
    <w:abstractNumId w:val="1"/>
  </w:num>
  <w:num w:numId="13" w16cid:durableId="650253298">
    <w:abstractNumId w:val="10"/>
  </w:num>
  <w:num w:numId="14" w16cid:durableId="1256746806">
    <w:abstractNumId w:val="14"/>
  </w:num>
  <w:num w:numId="15" w16cid:durableId="3064024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0AD1"/>
    <w:rsid w:val="00060318"/>
    <w:rsid w:val="00063F1C"/>
    <w:rsid w:val="000763AB"/>
    <w:rsid w:val="000A6A0F"/>
    <w:rsid w:val="000E4B0C"/>
    <w:rsid w:val="0010280C"/>
    <w:rsid w:val="00117BA1"/>
    <w:rsid w:val="00156880"/>
    <w:rsid w:val="0016175E"/>
    <w:rsid w:val="0017409B"/>
    <w:rsid w:val="00190A1D"/>
    <w:rsid w:val="00195BE3"/>
    <w:rsid w:val="00195FD8"/>
    <w:rsid w:val="001D2ECA"/>
    <w:rsid w:val="001E4052"/>
    <w:rsid w:val="0020335B"/>
    <w:rsid w:val="00230FD4"/>
    <w:rsid w:val="00242C90"/>
    <w:rsid w:val="0025094A"/>
    <w:rsid w:val="002619AB"/>
    <w:rsid w:val="00281BFC"/>
    <w:rsid w:val="00282571"/>
    <w:rsid w:val="0028680E"/>
    <w:rsid w:val="002A55B4"/>
    <w:rsid w:val="002D6437"/>
    <w:rsid w:val="002F53E2"/>
    <w:rsid w:val="0031663E"/>
    <w:rsid w:val="00345017"/>
    <w:rsid w:val="003467B1"/>
    <w:rsid w:val="00360BF1"/>
    <w:rsid w:val="003724B1"/>
    <w:rsid w:val="00397B0F"/>
    <w:rsid w:val="003A3BA3"/>
    <w:rsid w:val="003B1E7B"/>
    <w:rsid w:val="003B693B"/>
    <w:rsid w:val="003E76C4"/>
    <w:rsid w:val="00403015"/>
    <w:rsid w:val="00430759"/>
    <w:rsid w:val="00444384"/>
    <w:rsid w:val="0045225A"/>
    <w:rsid w:val="00455E23"/>
    <w:rsid w:val="004C0AD0"/>
    <w:rsid w:val="004C4CAF"/>
    <w:rsid w:val="00571696"/>
    <w:rsid w:val="00573C45"/>
    <w:rsid w:val="00591B1B"/>
    <w:rsid w:val="00614D9A"/>
    <w:rsid w:val="00627E94"/>
    <w:rsid w:val="00656F37"/>
    <w:rsid w:val="006D4129"/>
    <w:rsid w:val="00707F77"/>
    <w:rsid w:val="0072463F"/>
    <w:rsid w:val="007509A9"/>
    <w:rsid w:val="007F5A49"/>
    <w:rsid w:val="007F7121"/>
    <w:rsid w:val="00822C85"/>
    <w:rsid w:val="008327E9"/>
    <w:rsid w:val="00880AD1"/>
    <w:rsid w:val="00883A22"/>
    <w:rsid w:val="008C0570"/>
    <w:rsid w:val="008E1E7D"/>
    <w:rsid w:val="00910FA9"/>
    <w:rsid w:val="00922128"/>
    <w:rsid w:val="0093256C"/>
    <w:rsid w:val="00964A66"/>
    <w:rsid w:val="009A29A5"/>
    <w:rsid w:val="009B0F24"/>
    <w:rsid w:val="009D05C3"/>
    <w:rsid w:val="00A40A2D"/>
    <w:rsid w:val="00A4111C"/>
    <w:rsid w:val="00A415DB"/>
    <w:rsid w:val="00A604DE"/>
    <w:rsid w:val="00A62F94"/>
    <w:rsid w:val="00A71A0E"/>
    <w:rsid w:val="00A869CC"/>
    <w:rsid w:val="00AA27E3"/>
    <w:rsid w:val="00AD49FA"/>
    <w:rsid w:val="00AF0A1A"/>
    <w:rsid w:val="00B00607"/>
    <w:rsid w:val="00B100D4"/>
    <w:rsid w:val="00B31AB3"/>
    <w:rsid w:val="00B765A2"/>
    <w:rsid w:val="00B8044C"/>
    <w:rsid w:val="00B8374C"/>
    <w:rsid w:val="00BA2A76"/>
    <w:rsid w:val="00C037E0"/>
    <w:rsid w:val="00C419A9"/>
    <w:rsid w:val="00C51EA5"/>
    <w:rsid w:val="00C5358D"/>
    <w:rsid w:val="00C90B24"/>
    <w:rsid w:val="00C93E5E"/>
    <w:rsid w:val="00CD4854"/>
    <w:rsid w:val="00CD6E1E"/>
    <w:rsid w:val="00CF43CD"/>
    <w:rsid w:val="00D00AC9"/>
    <w:rsid w:val="00D25B34"/>
    <w:rsid w:val="00D27E0A"/>
    <w:rsid w:val="00D84DAD"/>
    <w:rsid w:val="00D956BD"/>
    <w:rsid w:val="00DB586F"/>
    <w:rsid w:val="00E17B43"/>
    <w:rsid w:val="00E27263"/>
    <w:rsid w:val="00E83984"/>
    <w:rsid w:val="00EB19BC"/>
    <w:rsid w:val="00ED1E5C"/>
    <w:rsid w:val="00EF2284"/>
    <w:rsid w:val="00F523D4"/>
    <w:rsid w:val="00F8103C"/>
    <w:rsid w:val="0C967533"/>
    <w:rsid w:val="2568E216"/>
    <w:rsid w:val="598767F7"/>
    <w:rsid w:val="5B0DBB0F"/>
    <w:rsid w:val="6BF4F793"/>
    <w:rsid w:val="746B21D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4E322"/>
  <w15:chartTrackingRefBased/>
  <w15:docId w15:val="{21D1E3BB-F7F0-4BC4-83C0-F692516D1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0AD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80AD1"/>
    <w:pPr>
      <w:ind w:left="720"/>
      <w:contextualSpacing/>
    </w:pPr>
  </w:style>
  <w:style w:type="table" w:styleId="Grilledutableau">
    <w:name w:val="Table Grid"/>
    <w:basedOn w:val="TableauNormal"/>
    <w:uiPriority w:val="39"/>
    <w:rsid w:val="00880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olicepardfaut"/>
    <w:rsid w:val="00CD6E1E"/>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E83984"/>
    <w:pPr>
      <w:spacing w:after="0" w:line="240" w:lineRule="auto"/>
    </w:pPr>
  </w:style>
  <w:style w:type="paragraph" w:styleId="Textedebulles">
    <w:name w:val="Balloon Text"/>
    <w:basedOn w:val="Normal"/>
    <w:link w:val="TextedebullesCar"/>
    <w:uiPriority w:val="99"/>
    <w:semiHidden/>
    <w:unhideWhenUsed/>
    <w:rsid w:val="00230FD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30FD4"/>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3B693B"/>
    <w:rPr>
      <w:b/>
      <w:bCs/>
    </w:rPr>
  </w:style>
  <w:style w:type="character" w:customStyle="1" w:styleId="ObjetducommentaireCar">
    <w:name w:val="Objet du commentaire Car"/>
    <w:basedOn w:val="CommentaireCar"/>
    <w:link w:val="Objetducommentaire"/>
    <w:uiPriority w:val="99"/>
    <w:semiHidden/>
    <w:rsid w:val="003B693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289C0AD32ADB4296E2D85CF7A59585" ma:contentTypeVersion="13" ma:contentTypeDescription="Crée un document." ma:contentTypeScope="" ma:versionID="89580813dfe137a60f7ec15615cdd6f3">
  <xsd:schema xmlns:xsd="http://www.w3.org/2001/XMLSchema" xmlns:xs="http://www.w3.org/2001/XMLSchema" xmlns:p="http://schemas.microsoft.com/office/2006/metadata/properties" xmlns:ns3="adaf5d85-547d-44f4-b98d-ac3df3cc5d94" xmlns:ns4="c971c108-3c8a-4046-96b5-8721ad434734" targetNamespace="http://schemas.microsoft.com/office/2006/metadata/properties" ma:root="true" ma:fieldsID="030103326e6ef85a002c39b756eb39eb" ns3:_="" ns4:_="">
    <xsd:import namespace="adaf5d85-547d-44f4-b98d-ac3df3cc5d94"/>
    <xsd:import namespace="c971c108-3c8a-4046-96b5-8721ad434734"/>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_activity" minOccurs="0"/>
                <xsd:element ref="ns3:MediaServiceDateTaken" minOccurs="0"/>
                <xsd:element ref="ns3:MediaServiceSystem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af5d85-547d-44f4-b98d-ac3df3cc5d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activity" ma:index="12" nillable="true" ma:displayName="_activity" ma:hidden="true" ma:internalName="_activity">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71c108-3c8a-4046-96b5-8721ad434734"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SharingHintHash" ma:index="20"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adaf5d85-547d-44f4-b98d-ac3df3cc5d94" xsi:nil="true"/>
  </documentManagement>
</p:properties>
</file>

<file path=customXml/itemProps1.xml><?xml version="1.0" encoding="utf-8"?>
<ds:datastoreItem xmlns:ds="http://schemas.openxmlformats.org/officeDocument/2006/customXml" ds:itemID="{D9A7B9EF-6017-4F48-BE8E-ADB4325FB036}">
  <ds:schemaRefs>
    <ds:schemaRef ds:uri="http://schemas.microsoft.com/sharepoint/v3/contenttype/forms"/>
  </ds:schemaRefs>
</ds:datastoreItem>
</file>

<file path=customXml/itemProps2.xml><?xml version="1.0" encoding="utf-8"?>
<ds:datastoreItem xmlns:ds="http://schemas.openxmlformats.org/officeDocument/2006/customXml" ds:itemID="{DF335867-750B-443A-A517-D7EDC5AA24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af5d85-547d-44f4-b98d-ac3df3cc5d94"/>
    <ds:schemaRef ds:uri="c971c108-3c8a-4046-96b5-8721ad4347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B716C0-A7E3-4023-8311-D09BC90BA5F0}">
  <ds:schemaRefs>
    <ds:schemaRef ds:uri="http://schemas.microsoft.com/office/2006/metadata/properties"/>
    <ds:schemaRef ds:uri="http://schemas.microsoft.com/office/infopath/2007/PartnerControls"/>
    <ds:schemaRef ds:uri="adaf5d85-547d-44f4-b98d-ac3df3cc5d94"/>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1035</Words>
  <Characters>5698</Characters>
  <Application>Microsoft Office Word</Application>
  <DocSecurity>0</DocSecurity>
  <Lines>47</Lines>
  <Paragraphs>13</Paragraphs>
  <ScaleCrop>false</ScaleCrop>
  <Company/>
  <LinksUpToDate>false</LinksUpToDate>
  <CharactersWithSpaces>6720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Delpierre</dc:creator>
  <cp:keywords/>
  <dc:description/>
  <cp:lastModifiedBy>Mélanie CROMBECQUE</cp:lastModifiedBy>
  <cp:revision>32</cp:revision>
  <dcterms:created xsi:type="dcterms:W3CDTF">2024-08-07T08:22:00Z</dcterms:created>
  <dcterms:modified xsi:type="dcterms:W3CDTF">2024-10-04T13:43:00Z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0x010100D6289C0AD32ADB4296E2D85CF7A59585</vt:lpwstr>
  </property>
</Properties>
</file>